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CA" w:rsidRPr="002B1307" w:rsidRDefault="00731C59" w:rsidP="007100CA">
      <w:pPr>
        <w:jc w:val="center"/>
        <w:rPr>
          <w:b/>
          <w:sz w:val="28"/>
        </w:rPr>
      </w:pPr>
      <w:r w:rsidRPr="002B130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-81280</wp:posOffset>
            </wp:positionV>
            <wp:extent cx="2095500" cy="762000"/>
            <wp:effectExtent l="0" t="0" r="0" b="0"/>
            <wp:wrapNone/>
            <wp:docPr id="1" name="Grafik 1" descr="L_BB B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_BB Bi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307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-317500</wp:posOffset>
            </wp:positionV>
            <wp:extent cx="1337945" cy="996315"/>
            <wp:effectExtent l="0" t="0" r="0" b="0"/>
            <wp:wrapSquare wrapText="bothSides"/>
            <wp:docPr id="2" name="Grafi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0CA" w:rsidRPr="002B1307" w:rsidRDefault="007100CA" w:rsidP="007100CA">
      <w:pPr>
        <w:jc w:val="center"/>
        <w:rPr>
          <w:b/>
          <w:sz w:val="28"/>
        </w:rPr>
      </w:pPr>
    </w:p>
    <w:p w:rsidR="007100CA" w:rsidRPr="002B1307" w:rsidRDefault="007100CA" w:rsidP="007100CA">
      <w:pPr>
        <w:jc w:val="center"/>
        <w:rPr>
          <w:b/>
          <w:sz w:val="28"/>
        </w:rPr>
      </w:pPr>
    </w:p>
    <w:p w:rsidR="007100CA" w:rsidRPr="002B1307" w:rsidRDefault="007100CA" w:rsidP="007100CA">
      <w:pPr>
        <w:jc w:val="center"/>
        <w:rPr>
          <w:b/>
          <w:sz w:val="28"/>
        </w:rPr>
      </w:pPr>
    </w:p>
    <w:p w:rsidR="004C5061" w:rsidRPr="002B1307" w:rsidRDefault="004C5061" w:rsidP="007100CA">
      <w:pPr>
        <w:jc w:val="center"/>
        <w:rPr>
          <w:b/>
          <w:sz w:val="28"/>
        </w:rPr>
      </w:pPr>
    </w:p>
    <w:p w:rsidR="007100CA" w:rsidRPr="002B1307" w:rsidRDefault="00731C59" w:rsidP="007100CA">
      <w:pPr>
        <w:jc w:val="center"/>
        <w:rPr>
          <w:b/>
          <w:sz w:val="28"/>
        </w:rPr>
      </w:pPr>
      <w:r w:rsidRPr="002B1307">
        <w:rPr>
          <w:b/>
          <w:sz w:val="28"/>
        </w:rPr>
        <w:t>Zweckverband „Gewerbepark Bietigheimer Weg“</w:t>
      </w:r>
    </w:p>
    <w:p w:rsidR="007100CA" w:rsidRPr="002B1307" w:rsidRDefault="007100CA" w:rsidP="007100CA"/>
    <w:p w:rsidR="007100CA" w:rsidRPr="002B1307" w:rsidRDefault="00731C59" w:rsidP="007100CA">
      <w:pPr>
        <w:pStyle w:val="berschrift1"/>
        <w:jc w:val="center"/>
      </w:pPr>
      <w:r w:rsidRPr="002B1307">
        <w:t>Bekanntmachung der Haushaltssatzung des Zweckverbands Gewerbepark Bietigheimer Weg für das Haushaltsjahr 20</w:t>
      </w:r>
      <w:r w:rsidR="00E929AC" w:rsidRPr="002B1307">
        <w:t>2</w:t>
      </w:r>
      <w:r>
        <w:t>5</w:t>
      </w:r>
    </w:p>
    <w:p w:rsidR="007100CA" w:rsidRPr="002B1307" w:rsidRDefault="007100CA" w:rsidP="007100CA">
      <w:pPr>
        <w:rPr>
          <w:b/>
          <w:sz w:val="28"/>
        </w:rPr>
      </w:pPr>
    </w:p>
    <w:p w:rsidR="00E44860" w:rsidRPr="002B1307" w:rsidRDefault="00731C59" w:rsidP="00E44860">
      <w:pPr>
        <w:jc w:val="center"/>
        <w:rPr>
          <w:b/>
          <w:sz w:val="28"/>
        </w:rPr>
      </w:pPr>
      <w:r w:rsidRPr="002B1307">
        <w:rPr>
          <w:b/>
          <w:szCs w:val="22"/>
        </w:rPr>
        <w:t>I</w:t>
      </w:r>
      <w:r w:rsidRPr="002B1307">
        <w:rPr>
          <w:b/>
          <w:sz w:val="28"/>
        </w:rPr>
        <w:t>.</w:t>
      </w:r>
    </w:p>
    <w:p w:rsidR="007100CA" w:rsidRPr="002B1307" w:rsidRDefault="00731C59" w:rsidP="00102DE4">
      <w:pPr>
        <w:overflowPunct/>
        <w:autoSpaceDE/>
        <w:autoSpaceDN/>
        <w:adjustRightInd/>
        <w:ind w:left="-567"/>
        <w:textAlignment w:val="auto"/>
        <w:rPr>
          <w:szCs w:val="22"/>
        </w:rPr>
      </w:pPr>
      <w:r w:rsidRPr="002B1307">
        <w:t>Auf Grund von § 79 der Gemeindeordnung für Baden-Württemberg in der Fassung vom 24.07.2000 (GBl. S. 58</w:t>
      </w:r>
      <w:r w:rsidR="00945A69" w:rsidRPr="002B1307">
        <w:t>1</w:t>
      </w:r>
      <w:r w:rsidRPr="002B1307">
        <w:t>, ber. S. 698) zuletzt geändert durch</w:t>
      </w:r>
      <w:r w:rsidR="00945A69" w:rsidRPr="002B1307">
        <w:t xml:space="preserve"> Artikel 2 </w:t>
      </w:r>
      <w:proofErr w:type="gramStart"/>
      <w:r w:rsidR="00945A69" w:rsidRPr="002B1307">
        <w:t>des Gesetz</w:t>
      </w:r>
      <w:proofErr w:type="gramEnd"/>
      <w:r w:rsidRPr="002B1307">
        <w:t xml:space="preserve"> </w:t>
      </w:r>
      <w:r w:rsidR="00102DE4" w:rsidRPr="002B1307">
        <w:t xml:space="preserve">vom 02.12.2020 (GBl. S. 1095) </w:t>
      </w:r>
      <w:r w:rsidR="00106074" w:rsidRPr="002B1307">
        <w:rPr>
          <w:szCs w:val="22"/>
        </w:rPr>
        <w:t>in Verbindung mit</w:t>
      </w:r>
      <w:r w:rsidR="00102DE4" w:rsidRPr="002B1307">
        <w:rPr>
          <w:szCs w:val="22"/>
        </w:rPr>
        <w:t xml:space="preserve"> </w:t>
      </w:r>
      <w:r w:rsidR="00106074" w:rsidRPr="002B1307">
        <w:rPr>
          <w:szCs w:val="22"/>
        </w:rPr>
        <w:t>den §§ 13, 18 und</w:t>
      </w:r>
      <w:r w:rsidR="00102DE4" w:rsidRPr="002B1307">
        <w:rPr>
          <w:szCs w:val="22"/>
        </w:rPr>
        <w:t xml:space="preserve"> 19 des Gesetzes über </w:t>
      </w:r>
      <w:r w:rsidR="00945A69" w:rsidRPr="002B1307">
        <w:rPr>
          <w:szCs w:val="22"/>
        </w:rPr>
        <w:t>K</w:t>
      </w:r>
      <w:r w:rsidR="00102DE4" w:rsidRPr="002B1307">
        <w:rPr>
          <w:szCs w:val="22"/>
        </w:rPr>
        <w:t xml:space="preserve">ommunale Zusammenarbeit i.d.F. vom 16.09.1974 (Gbl. S. 408), zuletzt geändert durch Gesetz vom 17.06.2020 (GBl S. 403) sowie der §§ 11, 12 und 13 der Satzung über den Zweckverband </w:t>
      </w:r>
      <w:r w:rsidR="00102DE4" w:rsidRPr="002B1307">
        <w:rPr>
          <w:rFonts w:cs="Arial"/>
          <w:szCs w:val="22"/>
        </w:rPr>
        <w:t>Gewerbepark Bietigheimer Weg</w:t>
      </w:r>
      <w:r w:rsidR="00102DE4" w:rsidRPr="002B1307">
        <w:rPr>
          <w:szCs w:val="22"/>
        </w:rPr>
        <w:t xml:space="preserve"> hat die Verbandsversammlung am </w:t>
      </w:r>
      <w:r>
        <w:rPr>
          <w:szCs w:val="22"/>
        </w:rPr>
        <w:t>10.04.2025</w:t>
      </w:r>
      <w:r w:rsidR="00102DE4" w:rsidRPr="002B1307">
        <w:rPr>
          <w:szCs w:val="22"/>
        </w:rPr>
        <w:t xml:space="preserve"> folgende Haushaltssatzung für das Haushaltsjahr 202</w:t>
      </w:r>
      <w:r>
        <w:rPr>
          <w:szCs w:val="22"/>
        </w:rPr>
        <w:t>5</w:t>
      </w:r>
      <w:r w:rsidR="00102DE4" w:rsidRPr="002B1307">
        <w:rPr>
          <w:szCs w:val="22"/>
        </w:rPr>
        <w:t xml:space="preserve"> beschlossen:</w:t>
      </w:r>
    </w:p>
    <w:p w:rsidR="00807D0E" w:rsidRPr="002B1307" w:rsidRDefault="00807D0E" w:rsidP="007100CA">
      <w:pPr>
        <w:ind w:right="-143"/>
        <w:rPr>
          <w:szCs w:val="22"/>
        </w:rPr>
      </w:pPr>
    </w:p>
    <w:p w:rsidR="007100CA" w:rsidRPr="002B1307" w:rsidRDefault="00731C59" w:rsidP="00106074">
      <w:pPr>
        <w:jc w:val="center"/>
        <w:rPr>
          <w:b/>
          <w:sz w:val="28"/>
        </w:rPr>
      </w:pPr>
      <w:r w:rsidRPr="002B1307">
        <w:rPr>
          <w:b/>
          <w:sz w:val="28"/>
        </w:rPr>
        <w:t>II. Haushaltssatzung</w:t>
      </w:r>
      <w:r w:rsidR="00A736B4" w:rsidRPr="002B130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2B1307">
        <w:rPr>
          <w:b/>
          <w:sz w:val="28"/>
        </w:rPr>
        <w:t xml:space="preserve"> </w:t>
      </w:r>
      <w:r w:rsidR="00E929AC" w:rsidRPr="002B1307">
        <w:rPr>
          <w:b/>
          <w:sz w:val="28"/>
        </w:rPr>
        <w:t xml:space="preserve">des </w:t>
      </w:r>
      <w:r w:rsidRPr="002B1307">
        <w:rPr>
          <w:b/>
          <w:sz w:val="28"/>
        </w:rPr>
        <w:t>Zweckverband Bietigheimer Weg</w:t>
      </w:r>
    </w:p>
    <w:p w:rsidR="00106074" w:rsidRPr="002B1307" w:rsidRDefault="00106074" w:rsidP="007100CA">
      <w:pPr>
        <w:rPr>
          <w:b/>
          <w:sz w:val="28"/>
        </w:rPr>
      </w:pPr>
    </w:p>
    <w:p w:rsidR="00B85834" w:rsidRPr="002B1307" w:rsidRDefault="00731C59" w:rsidP="00106074">
      <w:pPr>
        <w:ind w:left="-567"/>
        <w:rPr>
          <w:szCs w:val="22"/>
        </w:rPr>
      </w:pPr>
      <w:r w:rsidRPr="002B1307">
        <w:rPr>
          <w:b/>
          <w:szCs w:val="22"/>
        </w:rPr>
        <w:t>§ 1 Ergebnishaushalt und Finanzhaushalt</w:t>
      </w:r>
    </w:p>
    <w:p w:rsidR="00B85834" w:rsidRPr="002B1307" w:rsidRDefault="00B85834" w:rsidP="00B85834">
      <w:pPr>
        <w:ind w:left="-567"/>
        <w:rPr>
          <w:szCs w:val="22"/>
        </w:rPr>
      </w:pPr>
    </w:p>
    <w:p w:rsidR="00B85834" w:rsidRPr="002B1307" w:rsidRDefault="00731C59" w:rsidP="00B85834">
      <w:pPr>
        <w:pStyle w:val="wfxRecipient"/>
        <w:ind w:left="-284"/>
        <w:rPr>
          <w:sz w:val="22"/>
          <w:szCs w:val="22"/>
        </w:rPr>
      </w:pPr>
      <w:r w:rsidRPr="002B1307">
        <w:rPr>
          <w:sz w:val="22"/>
          <w:szCs w:val="22"/>
        </w:rPr>
        <w:t>Der Haushaltsplan wird festgesetzt</w:t>
      </w:r>
    </w:p>
    <w:p w:rsidR="00B85834" w:rsidRPr="002B1307" w:rsidRDefault="00B85834" w:rsidP="00B85834">
      <w:pPr>
        <w:ind w:left="-567"/>
        <w:rPr>
          <w:szCs w:val="22"/>
        </w:rPr>
      </w:pPr>
    </w:p>
    <w:p w:rsidR="00B85834" w:rsidRPr="002B1307" w:rsidRDefault="00731C59" w:rsidP="00B85834">
      <w:pPr>
        <w:spacing w:line="360" w:lineRule="auto"/>
        <w:ind w:left="-567"/>
        <w:rPr>
          <w:szCs w:val="22"/>
        </w:rPr>
      </w:pPr>
      <w:r w:rsidRPr="002B1307">
        <w:rPr>
          <w:szCs w:val="22"/>
        </w:rPr>
        <w:t xml:space="preserve">1. im </w:t>
      </w:r>
      <w:r w:rsidRPr="002B1307">
        <w:rPr>
          <w:b/>
          <w:szCs w:val="22"/>
        </w:rPr>
        <w:t>Ergebnishaushalt</w:t>
      </w:r>
      <w:r w:rsidRPr="002B1307">
        <w:rPr>
          <w:szCs w:val="22"/>
        </w:rPr>
        <w:t xml:space="preserve"> mit folgenden Beträgen</w:t>
      </w:r>
      <w:r w:rsidRPr="002B1307">
        <w:rPr>
          <w:szCs w:val="22"/>
        </w:rPr>
        <w:tab/>
      </w:r>
      <w:r w:rsidRPr="002B1307">
        <w:rPr>
          <w:szCs w:val="22"/>
        </w:rPr>
        <w:tab/>
      </w:r>
      <w:r w:rsidRPr="002B1307">
        <w:rPr>
          <w:szCs w:val="22"/>
        </w:rPr>
        <w:tab/>
      </w:r>
      <w:r w:rsidRPr="002B1307">
        <w:rPr>
          <w:szCs w:val="22"/>
        </w:rPr>
        <w:tab/>
      </w:r>
      <w:r w:rsidRPr="002B1307">
        <w:rPr>
          <w:szCs w:val="22"/>
        </w:rPr>
        <w:tab/>
      </w:r>
      <w:r w:rsidRPr="002B1307">
        <w:rPr>
          <w:szCs w:val="22"/>
        </w:rPr>
        <w:tab/>
        <w:t>EUR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418"/>
      </w:tblGrid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>1.1    Gesamtbetrag der ordentlichen Erträge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>
              <w:rPr>
                <w:szCs w:val="22"/>
              </w:rPr>
              <w:t>456.6</w:t>
            </w:r>
            <w:r w:rsidRPr="002B1307">
              <w:rPr>
                <w:szCs w:val="22"/>
              </w:rPr>
              <w:t xml:space="preserve">00 </w:t>
            </w:r>
          </w:p>
        </w:tc>
      </w:tr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>1.2    Gesamtbetrag der ordentlichen Aufwendungen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 w:rsidRPr="002B1307">
              <w:rPr>
                <w:szCs w:val="22"/>
              </w:rPr>
              <w:t>-</w:t>
            </w:r>
            <w:r w:rsidR="00C03D36" w:rsidRPr="002B1307">
              <w:rPr>
                <w:szCs w:val="22"/>
              </w:rPr>
              <w:t>4</w:t>
            </w:r>
            <w:r>
              <w:rPr>
                <w:szCs w:val="22"/>
              </w:rPr>
              <w:t>56</w:t>
            </w:r>
            <w:r w:rsidR="00C03D36" w:rsidRPr="002B1307">
              <w:rPr>
                <w:szCs w:val="22"/>
              </w:rPr>
              <w:t>.</w:t>
            </w:r>
            <w:r>
              <w:rPr>
                <w:szCs w:val="22"/>
              </w:rPr>
              <w:t>6</w:t>
            </w:r>
            <w:r w:rsidR="00C03D36" w:rsidRPr="002B1307">
              <w:rPr>
                <w:szCs w:val="22"/>
              </w:rPr>
              <w:t>00</w:t>
            </w:r>
          </w:p>
        </w:tc>
      </w:tr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 xml:space="preserve">1.3    </w:t>
            </w:r>
            <w:r w:rsidRPr="002B1307">
              <w:rPr>
                <w:b/>
                <w:szCs w:val="22"/>
              </w:rPr>
              <w:t>Ordentliches Ergebnis</w:t>
            </w:r>
            <w:r w:rsidRPr="002B1307">
              <w:rPr>
                <w:szCs w:val="22"/>
              </w:rPr>
              <w:t xml:space="preserve"> (Saldo aus 1.1 und 1.2)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 w:rsidRPr="002B1307">
              <w:rPr>
                <w:b/>
                <w:szCs w:val="22"/>
              </w:rPr>
              <w:t>0</w:t>
            </w:r>
          </w:p>
        </w:tc>
      </w:tr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>1.4    Abdeckung aus Fehlbeträgen aus Vorjahren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 w:rsidRPr="002B1307">
              <w:rPr>
                <w:szCs w:val="22"/>
              </w:rPr>
              <w:t>0</w:t>
            </w:r>
          </w:p>
        </w:tc>
      </w:tr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 xml:space="preserve">1.5    </w:t>
            </w:r>
            <w:r w:rsidRPr="002B1307">
              <w:rPr>
                <w:b/>
                <w:szCs w:val="22"/>
              </w:rPr>
              <w:t>Veranschlagtes ordentliches Ergebnis</w:t>
            </w:r>
            <w:r w:rsidRPr="002B1307">
              <w:rPr>
                <w:szCs w:val="22"/>
              </w:rPr>
              <w:t xml:space="preserve"> (Saldo aus 1.3 und 1.4)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 w:rsidRPr="002B1307">
              <w:rPr>
                <w:b/>
                <w:szCs w:val="22"/>
              </w:rPr>
              <w:t>0</w:t>
            </w:r>
          </w:p>
        </w:tc>
      </w:tr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>1.6    Gesamtbetrag der außerordentlichen Erträge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 w:rsidRPr="002B1307">
              <w:rPr>
                <w:szCs w:val="22"/>
              </w:rPr>
              <w:t>0</w:t>
            </w:r>
          </w:p>
        </w:tc>
      </w:tr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>1.7    Gesamtbetrag der außerordentlichen Aufwendungen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 w:rsidRPr="002B1307">
              <w:rPr>
                <w:szCs w:val="22"/>
              </w:rPr>
              <w:t>0</w:t>
            </w:r>
          </w:p>
        </w:tc>
      </w:tr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 xml:space="preserve">1.8    </w:t>
            </w:r>
            <w:r w:rsidRPr="002B1307">
              <w:rPr>
                <w:b/>
                <w:szCs w:val="22"/>
              </w:rPr>
              <w:t>Veranschlagtes Sonderergebnis</w:t>
            </w:r>
            <w:r w:rsidRPr="002B1307">
              <w:rPr>
                <w:szCs w:val="22"/>
              </w:rPr>
              <w:t xml:space="preserve"> (Saldo aus 1.6 und 1.7)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 w:rsidRPr="002B1307">
              <w:rPr>
                <w:b/>
                <w:szCs w:val="22"/>
              </w:rPr>
              <w:t>0</w:t>
            </w:r>
          </w:p>
        </w:tc>
      </w:tr>
      <w:tr w:rsidR="00E2368A" w:rsidTr="00F55C9A">
        <w:tc>
          <w:tcPr>
            <w:tcW w:w="8080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 xml:space="preserve">1.9    </w:t>
            </w:r>
            <w:r w:rsidRPr="002B1307">
              <w:rPr>
                <w:b/>
                <w:szCs w:val="22"/>
              </w:rPr>
              <w:t>Veranschlagtes Gesamtergebnis</w:t>
            </w:r>
            <w:r w:rsidRPr="002B1307">
              <w:rPr>
                <w:szCs w:val="22"/>
              </w:rPr>
              <w:t xml:space="preserve"> (Saldo aus 1.5 und 1.8) von</w:t>
            </w:r>
          </w:p>
        </w:tc>
        <w:tc>
          <w:tcPr>
            <w:tcW w:w="1418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 w:rsidRPr="002B1307">
              <w:rPr>
                <w:b/>
                <w:szCs w:val="22"/>
              </w:rPr>
              <w:t>0</w:t>
            </w:r>
          </w:p>
        </w:tc>
      </w:tr>
    </w:tbl>
    <w:p w:rsidR="00B85834" w:rsidRPr="002B1307" w:rsidRDefault="00B85834" w:rsidP="00B85834">
      <w:pPr>
        <w:rPr>
          <w:szCs w:val="22"/>
        </w:rPr>
      </w:pPr>
    </w:p>
    <w:p w:rsidR="00B85834" w:rsidRPr="002B1307" w:rsidRDefault="00B85834" w:rsidP="00B85834">
      <w:pPr>
        <w:ind w:left="-567"/>
        <w:rPr>
          <w:szCs w:val="22"/>
        </w:rPr>
      </w:pPr>
    </w:p>
    <w:p w:rsidR="00B85834" w:rsidRPr="002B1307" w:rsidRDefault="00731C59" w:rsidP="00B85834">
      <w:pPr>
        <w:spacing w:line="360" w:lineRule="auto"/>
        <w:ind w:left="-567"/>
        <w:rPr>
          <w:szCs w:val="22"/>
        </w:rPr>
      </w:pPr>
      <w:r w:rsidRPr="002B1307">
        <w:rPr>
          <w:szCs w:val="22"/>
        </w:rPr>
        <w:t xml:space="preserve">2. im </w:t>
      </w:r>
      <w:r w:rsidRPr="002B1307">
        <w:rPr>
          <w:b/>
          <w:szCs w:val="22"/>
        </w:rPr>
        <w:t>Finanzhaushalt</w:t>
      </w:r>
      <w:r w:rsidRPr="002B1307">
        <w:rPr>
          <w:szCs w:val="22"/>
        </w:rPr>
        <w:t xml:space="preserve"> mit folgenden Beträgen</w:t>
      </w:r>
      <w:r w:rsidRPr="002B1307">
        <w:rPr>
          <w:szCs w:val="22"/>
        </w:rPr>
        <w:tab/>
      </w:r>
      <w:r w:rsidRPr="002B1307">
        <w:rPr>
          <w:szCs w:val="22"/>
        </w:rPr>
        <w:tab/>
      </w:r>
      <w:r w:rsidRPr="002B1307">
        <w:rPr>
          <w:szCs w:val="22"/>
        </w:rPr>
        <w:tab/>
      </w:r>
      <w:r w:rsidRPr="002B1307">
        <w:rPr>
          <w:szCs w:val="22"/>
        </w:rPr>
        <w:tab/>
      </w:r>
      <w:r w:rsidRPr="002B1307">
        <w:rPr>
          <w:szCs w:val="22"/>
        </w:rPr>
        <w:tab/>
      </w:r>
      <w:r w:rsidRPr="002B1307">
        <w:rPr>
          <w:szCs w:val="22"/>
        </w:rPr>
        <w:tab/>
        <w:t>EUR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1559"/>
      </w:tblGrid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 xml:space="preserve">2.1    Gesamtbetrag der Einzahlungen </w:t>
            </w:r>
            <w:proofErr w:type="gramStart"/>
            <w:r w:rsidRPr="002B1307">
              <w:rPr>
                <w:szCs w:val="22"/>
              </w:rPr>
              <w:t>aus laufender</w:t>
            </w:r>
            <w:proofErr w:type="gramEnd"/>
            <w:r w:rsidRPr="002B1307">
              <w:rPr>
                <w:szCs w:val="22"/>
              </w:rPr>
              <w:t xml:space="preserve"> Verwaltungstätigkeit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>
              <w:rPr>
                <w:szCs w:val="22"/>
              </w:rPr>
              <w:t>421</w:t>
            </w:r>
            <w:r w:rsidRPr="002B1307">
              <w:rPr>
                <w:szCs w:val="22"/>
              </w:rPr>
              <w:t>.</w:t>
            </w:r>
            <w:r>
              <w:rPr>
                <w:szCs w:val="22"/>
              </w:rPr>
              <w:t>6</w:t>
            </w:r>
            <w:r w:rsidRPr="002B1307">
              <w:rPr>
                <w:szCs w:val="22"/>
              </w:rPr>
              <w:t>00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 xml:space="preserve">2.2    Gesamtbetrag der Auszahlungen </w:t>
            </w:r>
            <w:proofErr w:type="gramStart"/>
            <w:r w:rsidRPr="002B1307">
              <w:rPr>
                <w:szCs w:val="22"/>
              </w:rPr>
              <w:t>aus laufender</w:t>
            </w:r>
            <w:proofErr w:type="gramEnd"/>
            <w:r w:rsidRPr="002B1307">
              <w:rPr>
                <w:szCs w:val="22"/>
              </w:rPr>
              <w:t xml:space="preserve"> Verwaltungstätigkeit von 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 w:rsidRPr="002B1307">
              <w:rPr>
                <w:szCs w:val="22"/>
              </w:rPr>
              <w:t>-</w:t>
            </w:r>
            <w:r>
              <w:rPr>
                <w:szCs w:val="22"/>
              </w:rPr>
              <w:t>403</w:t>
            </w:r>
            <w:r w:rsidR="00C03D36" w:rsidRPr="002B1307">
              <w:rPr>
                <w:szCs w:val="22"/>
              </w:rPr>
              <w:t>.</w:t>
            </w:r>
            <w:r>
              <w:rPr>
                <w:szCs w:val="22"/>
              </w:rPr>
              <w:t>8</w:t>
            </w:r>
            <w:r w:rsidR="00C03D36" w:rsidRPr="002B1307">
              <w:rPr>
                <w:szCs w:val="22"/>
              </w:rPr>
              <w:t>00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ind w:left="-108" w:firstLine="142"/>
              <w:rPr>
                <w:b/>
                <w:szCs w:val="22"/>
              </w:rPr>
            </w:pPr>
            <w:r w:rsidRPr="002B1307">
              <w:rPr>
                <w:szCs w:val="22"/>
              </w:rPr>
              <w:t xml:space="preserve">2.3    </w:t>
            </w:r>
            <w:r w:rsidRPr="002B1307">
              <w:rPr>
                <w:b/>
                <w:szCs w:val="22"/>
              </w:rPr>
              <w:t xml:space="preserve">Zahlungsmittelüberschuss/ -bedarf </w:t>
            </w:r>
            <w:proofErr w:type="gramStart"/>
            <w:r w:rsidRPr="002B1307">
              <w:rPr>
                <w:b/>
                <w:szCs w:val="22"/>
              </w:rPr>
              <w:t>aus laufender</w:t>
            </w:r>
            <w:proofErr w:type="gramEnd"/>
            <w:r w:rsidRPr="002B1307">
              <w:rPr>
                <w:b/>
                <w:szCs w:val="22"/>
              </w:rPr>
              <w:t xml:space="preserve"> Verwaltungs-</w:t>
            </w:r>
          </w:p>
          <w:p w:rsidR="00B85834" w:rsidRPr="002B1307" w:rsidRDefault="00731C59" w:rsidP="00F55C9A">
            <w:pPr>
              <w:spacing w:line="360" w:lineRule="auto"/>
              <w:ind w:left="33"/>
              <w:rPr>
                <w:szCs w:val="22"/>
              </w:rPr>
            </w:pPr>
            <w:r w:rsidRPr="002B1307">
              <w:rPr>
                <w:b/>
                <w:szCs w:val="22"/>
              </w:rPr>
              <w:t xml:space="preserve">         tätigkeit</w:t>
            </w:r>
            <w:r w:rsidRPr="002B1307">
              <w:rPr>
                <w:szCs w:val="22"/>
              </w:rPr>
              <w:t xml:space="preserve">  </w:t>
            </w:r>
            <w:proofErr w:type="gramStart"/>
            <w:r w:rsidRPr="002B1307">
              <w:rPr>
                <w:szCs w:val="22"/>
              </w:rPr>
              <w:t xml:space="preserve">   (</w:t>
            </w:r>
            <w:proofErr w:type="gramEnd"/>
            <w:r w:rsidRPr="002B1307">
              <w:rPr>
                <w:szCs w:val="22"/>
              </w:rPr>
              <w:t>Saldo aus 2.1 und 2.2)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17.8</w:t>
            </w:r>
            <w:r w:rsidRPr="002B1307">
              <w:rPr>
                <w:b/>
                <w:szCs w:val="22"/>
              </w:rPr>
              <w:t>00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>2.4    Gesamtbetrag der Einzahlungen aus Investitionstätigkeit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A736B4">
            <w:pPr>
              <w:spacing w:line="360" w:lineRule="auto"/>
              <w:ind w:right="175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2B1307">
              <w:rPr>
                <w:szCs w:val="22"/>
              </w:rPr>
              <w:t>.</w:t>
            </w:r>
            <w:r>
              <w:rPr>
                <w:szCs w:val="22"/>
              </w:rPr>
              <w:t>30</w:t>
            </w:r>
            <w:r w:rsidRPr="002B1307">
              <w:rPr>
                <w:szCs w:val="22"/>
              </w:rPr>
              <w:t>0.000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>2.5    Gesamtbetrag der Auszahlungen aus Investitionstätigkeit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 w:rsidRPr="002B1307">
              <w:rPr>
                <w:szCs w:val="22"/>
              </w:rPr>
              <w:t>-</w:t>
            </w:r>
            <w:r>
              <w:rPr>
                <w:szCs w:val="22"/>
              </w:rPr>
              <w:t>1.450</w:t>
            </w:r>
            <w:r w:rsidR="00C03D36" w:rsidRPr="002B1307">
              <w:rPr>
                <w:szCs w:val="22"/>
              </w:rPr>
              <w:t>.</w:t>
            </w:r>
            <w:r>
              <w:rPr>
                <w:szCs w:val="22"/>
              </w:rPr>
              <w:t>0</w:t>
            </w:r>
            <w:r w:rsidR="00C03D36" w:rsidRPr="002B1307">
              <w:rPr>
                <w:szCs w:val="22"/>
              </w:rPr>
              <w:t>00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rPr>
                <w:b/>
                <w:szCs w:val="22"/>
              </w:rPr>
            </w:pPr>
            <w:r w:rsidRPr="002B1307">
              <w:rPr>
                <w:szCs w:val="22"/>
              </w:rPr>
              <w:t xml:space="preserve">2.6   </w:t>
            </w:r>
            <w:r w:rsidRPr="002B1307">
              <w:rPr>
                <w:b/>
                <w:szCs w:val="22"/>
              </w:rPr>
              <w:t xml:space="preserve">Veranschlagter Finanzierungsmittelüberschuss/ -bedarf aus </w:t>
            </w:r>
          </w:p>
          <w:p w:rsidR="00B85834" w:rsidRPr="002B1307" w:rsidRDefault="00731C59" w:rsidP="00F55C9A">
            <w:pPr>
              <w:spacing w:line="360" w:lineRule="auto"/>
              <w:ind w:left="318"/>
              <w:rPr>
                <w:szCs w:val="22"/>
              </w:rPr>
            </w:pPr>
            <w:r w:rsidRPr="002B1307">
              <w:rPr>
                <w:b/>
                <w:szCs w:val="22"/>
              </w:rPr>
              <w:t xml:space="preserve">   Investitionstätigkeit </w:t>
            </w:r>
            <w:r w:rsidRPr="002B1307">
              <w:rPr>
                <w:szCs w:val="22"/>
              </w:rPr>
              <w:t>(Saldo aus 2.4 und 2.5)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 w:rsidRPr="002B1307">
              <w:rPr>
                <w:b/>
                <w:szCs w:val="22"/>
              </w:rPr>
              <w:t>-1</w:t>
            </w:r>
            <w:r>
              <w:rPr>
                <w:b/>
                <w:szCs w:val="22"/>
              </w:rPr>
              <w:t>50.000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rPr>
                <w:b/>
                <w:szCs w:val="22"/>
              </w:rPr>
            </w:pPr>
            <w:r w:rsidRPr="002B1307">
              <w:rPr>
                <w:szCs w:val="22"/>
              </w:rPr>
              <w:t xml:space="preserve">2.7    </w:t>
            </w:r>
            <w:r w:rsidRPr="002B1307">
              <w:rPr>
                <w:b/>
                <w:szCs w:val="22"/>
              </w:rPr>
              <w:t xml:space="preserve">Veranschlagter Finanzierungsmittelüberschuss/ -bedarf </w:t>
            </w:r>
          </w:p>
          <w:p w:rsidR="00B85834" w:rsidRPr="002B1307" w:rsidRDefault="00731C59" w:rsidP="00F55C9A">
            <w:pPr>
              <w:spacing w:line="360" w:lineRule="auto"/>
              <w:ind w:left="318"/>
              <w:rPr>
                <w:szCs w:val="22"/>
              </w:rPr>
            </w:pPr>
            <w:r w:rsidRPr="002B1307">
              <w:rPr>
                <w:szCs w:val="22"/>
              </w:rPr>
              <w:t xml:space="preserve">    (Saldo aus 2.3 und 2.6)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 w:rsidRPr="002B1307">
              <w:rPr>
                <w:b/>
                <w:szCs w:val="22"/>
              </w:rPr>
              <w:t>-1</w:t>
            </w:r>
            <w:r>
              <w:rPr>
                <w:b/>
                <w:szCs w:val="22"/>
              </w:rPr>
              <w:t>32.2</w:t>
            </w:r>
            <w:r w:rsidRPr="002B1307">
              <w:rPr>
                <w:b/>
                <w:szCs w:val="22"/>
              </w:rPr>
              <w:t>00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>2.8    Gesamtbetrag der Einzahlungen aus Finanzierungstätigkeit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 w:rsidRPr="002B1307">
              <w:rPr>
                <w:szCs w:val="22"/>
              </w:rPr>
              <w:t>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rPr>
                <w:szCs w:val="22"/>
              </w:rPr>
            </w:pPr>
            <w:r w:rsidRPr="002B1307">
              <w:rPr>
                <w:szCs w:val="22"/>
              </w:rPr>
              <w:t xml:space="preserve">2.9    Gesamtbetrag der Auszahlungen aus Finanzierungstätigkeit von 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szCs w:val="22"/>
              </w:rPr>
            </w:pPr>
            <w:r w:rsidRPr="002B1307">
              <w:rPr>
                <w:szCs w:val="22"/>
              </w:rPr>
              <w:t>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ind w:left="459" w:hanging="425"/>
              <w:rPr>
                <w:b/>
                <w:szCs w:val="22"/>
              </w:rPr>
            </w:pPr>
            <w:proofErr w:type="gramStart"/>
            <w:r w:rsidRPr="002B1307">
              <w:rPr>
                <w:szCs w:val="22"/>
              </w:rPr>
              <w:t xml:space="preserve">2.10  </w:t>
            </w:r>
            <w:r w:rsidRPr="002B1307">
              <w:rPr>
                <w:b/>
                <w:szCs w:val="22"/>
              </w:rPr>
              <w:t>Veranschlagter</w:t>
            </w:r>
            <w:proofErr w:type="gramEnd"/>
            <w:r w:rsidRPr="002B1307">
              <w:rPr>
                <w:b/>
                <w:szCs w:val="22"/>
              </w:rPr>
              <w:t xml:space="preserve"> Finanzierungsmittelüberschuss/ -bedarf aus </w:t>
            </w:r>
          </w:p>
          <w:p w:rsidR="00B85834" w:rsidRPr="002B1307" w:rsidRDefault="00731C59" w:rsidP="00F55C9A">
            <w:pPr>
              <w:spacing w:line="360" w:lineRule="auto"/>
              <w:ind w:left="459"/>
              <w:rPr>
                <w:szCs w:val="22"/>
              </w:rPr>
            </w:pPr>
            <w:r w:rsidRPr="002B1307">
              <w:rPr>
                <w:b/>
                <w:szCs w:val="22"/>
              </w:rPr>
              <w:t xml:space="preserve">  Finanzierungstätigkeit</w:t>
            </w:r>
            <w:r w:rsidRPr="002B1307">
              <w:rPr>
                <w:szCs w:val="22"/>
              </w:rPr>
              <w:t xml:space="preserve"> (Saldo aus 2.8 und 2.9)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 w:rsidRPr="002B1307">
              <w:rPr>
                <w:b/>
                <w:szCs w:val="22"/>
              </w:rPr>
              <w:t>0</w:t>
            </w:r>
          </w:p>
        </w:tc>
      </w:tr>
      <w:tr w:rsidR="00E2368A" w:rsidTr="00F55C9A">
        <w:tc>
          <w:tcPr>
            <w:tcW w:w="7939" w:type="dxa"/>
            <w:shd w:val="clear" w:color="auto" w:fill="auto"/>
          </w:tcPr>
          <w:p w:rsidR="00B85834" w:rsidRPr="002B1307" w:rsidRDefault="00731C59" w:rsidP="00F55C9A">
            <w:pPr>
              <w:rPr>
                <w:b/>
                <w:szCs w:val="22"/>
              </w:rPr>
            </w:pPr>
            <w:proofErr w:type="gramStart"/>
            <w:r w:rsidRPr="002B1307">
              <w:rPr>
                <w:szCs w:val="22"/>
              </w:rPr>
              <w:t xml:space="preserve">2.11  </w:t>
            </w:r>
            <w:r w:rsidRPr="002B1307">
              <w:rPr>
                <w:b/>
                <w:szCs w:val="22"/>
              </w:rPr>
              <w:t>Veranschlagte</w:t>
            </w:r>
            <w:proofErr w:type="gramEnd"/>
            <w:r w:rsidRPr="002B1307">
              <w:rPr>
                <w:b/>
                <w:szCs w:val="22"/>
              </w:rPr>
              <w:t xml:space="preserve"> Änderung Finanzierungsmittelbestands, Saldo des </w:t>
            </w:r>
          </w:p>
          <w:p w:rsidR="00B85834" w:rsidRPr="002B1307" w:rsidRDefault="00731C59" w:rsidP="00F55C9A">
            <w:pPr>
              <w:spacing w:line="360" w:lineRule="auto"/>
              <w:ind w:left="459"/>
              <w:rPr>
                <w:szCs w:val="22"/>
              </w:rPr>
            </w:pPr>
            <w:r w:rsidRPr="002B1307">
              <w:rPr>
                <w:b/>
                <w:szCs w:val="22"/>
              </w:rPr>
              <w:t xml:space="preserve">  Finanzhaushalts </w:t>
            </w:r>
            <w:r w:rsidRPr="002B1307">
              <w:rPr>
                <w:szCs w:val="22"/>
              </w:rPr>
              <w:t>(Saldo aus 2.7 und 2.10) von</w:t>
            </w:r>
          </w:p>
        </w:tc>
        <w:tc>
          <w:tcPr>
            <w:tcW w:w="1559" w:type="dxa"/>
            <w:shd w:val="clear" w:color="auto" w:fill="auto"/>
          </w:tcPr>
          <w:p w:rsidR="00B85834" w:rsidRPr="002B1307" w:rsidRDefault="00731C59" w:rsidP="00F55C9A">
            <w:pPr>
              <w:spacing w:line="360" w:lineRule="auto"/>
              <w:ind w:right="175"/>
              <w:jc w:val="right"/>
              <w:rPr>
                <w:b/>
                <w:szCs w:val="22"/>
              </w:rPr>
            </w:pPr>
            <w:r w:rsidRPr="002B1307">
              <w:rPr>
                <w:b/>
                <w:szCs w:val="22"/>
              </w:rPr>
              <w:t>-1</w:t>
            </w:r>
            <w:r>
              <w:rPr>
                <w:b/>
                <w:szCs w:val="22"/>
              </w:rPr>
              <w:t>32.2</w:t>
            </w:r>
            <w:r w:rsidRPr="002B1307">
              <w:rPr>
                <w:b/>
                <w:szCs w:val="22"/>
              </w:rPr>
              <w:t>00</w:t>
            </w:r>
          </w:p>
        </w:tc>
      </w:tr>
    </w:tbl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rPr>
          <w:sz w:val="18"/>
          <w:szCs w:val="18"/>
        </w:rPr>
      </w:pP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rPr>
          <w:sz w:val="18"/>
          <w:szCs w:val="18"/>
        </w:rPr>
      </w:pPr>
    </w:p>
    <w:p w:rsidR="00B85834" w:rsidRPr="002B1307" w:rsidRDefault="00731C59" w:rsidP="0010607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b/>
          <w:sz w:val="22"/>
          <w:szCs w:val="22"/>
        </w:rPr>
      </w:pPr>
      <w:r w:rsidRPr="002B1307">
        <w:rPr>
          <w:b/>
          <w:sz w:val="22"/>
          <w:szCs w:val="22"/>
        </w:rPr>
        <w:t>§ 2 Kreditermächtigung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b/>
          <w:sz w:val="22"/>
          <w:szCs w:val="22"/>
        </w:rPr>
      </w:pP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>Der Gesamtbetrag der vorgesehenen Kreditaufnahmen für Investitionen und Investitionsförderungsmaßnahmen (Kreditermächtigung) wird festgesetzt auf</w:t>
      </w:r>
      <w:r w:rsidR="00AC51BA" w:rsidRPr="002B1307">
        <w:rPr>
          <w:sz w:val="22"/>
          <w:szCs w:val="22"/>
        </w:rPr>
        <w:t>:</w:t>
      </w:r>
      <w:r w:rsidRPr="002B1307">
        <w:rPr>
          <w:sz w:val="22"/>
          <w:szCs w:val="22"/>
        </w:rPr>
        <w:tab/>
      </w:r>
      <w:r w:rsidR="00EF6425" w:rsidRPr="002B1307">
        <w:rPr>
          <w:sz w:val="22"/>
          <w:szCs w:val="22"/>
        </w:rPr>
        <w:t xml:space="preserve">               </w:t>
      </w:r>
      <w:r w:rsidR="00AC51BA" w:rsidRPr="002B1307">
        <w:rPr>
          <w:sz w:val="22"/>
          <w:szCs w:val="22"/>
        </w:rPr>
        <w:t xml:space="preserve">  </w:t>
      </w:r>
      <w:r w:rsidR="00EF6425" w:rsidRPr="002B1307">
        <w:rPr>
          <w:sz w:val="22"/>
          <w:szCs w:val="22"/>
        </w:rPr>
        <w:t>0 €</w:t>
      </w:r>
      <w:r>
        <w:rPr>
          <w:sz w:val="22"/>
          <w:szCs w:val="22"/>
        </w:rPr>
        <w:t>.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8"/>
          <w:szCs w:val="18"/>
        </w:rPr>
      </w:pPr>
    </w:p>
    <w:p w:rsidR="00B85834" w:rsidRPr="002B1307" w:rsidRDefault="00731C59" w:rsidP="0010607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b/>
          <w:sz w:val="22"/>
          <w:szCs w:val="22"/>
        </w:rPr>
      </w:pPr>
      <w:r w:rsidRPr="002B1307">
        <w:rPr>
          <w:b/>
          <w:sz w:val="22"/>
          <w:szCs w:val="22"/>
        </w:rPr>
        <w:t>§ 3 Verpflichtungsermächtigung</w:t>
      </w:r>
    </w:p>
    <w:p w:rsidR="00B85834" w:rsidRPr="002B1307" w:rsidRDefault="00B85834" w:rsidP="00B85834">
      <w:pPr>
        <w:pStyle w:val="wfxRecipient"/>
        <w:tabs>
          <w:tab w:val="left" w:pos="0"/>
          <w:tab w:val="left" w:pos="567"/>
          <w:tab w:val="right" w:pos="8505"/>
        </w:tabs>
        <w:ind w:left="142"/>
        <w:rPr>
          <w:b/>
          <w:sz w:val="22"/>
          <w:szCs w:val="22"/>
        </w:rPr>
      </w:pPr>
    </w:p>
    <w:p w:rsidR="00B85834" w:rsidRPr="002B1307" w:rsidRDefault="00731C59" w:rsidP="00B85834">
      <w:pPr>
        <w:pStyle w:val="NurText"/>
        <w:ind w:left="142" w:right="-143"/>
        <w:rPr>
          <w:rFonts w:ascii="Arial" w:hAnsi="Arial" w:cs="Arial"/>
          <w:sz w:val="22"/>
          <w:szCs w:val="22"/>
        </w:rPr>
      </w:pPr>
      <w:r w:rsidRPr="002B1307">
        <w:rPr>
          <w:rFonts w:ascii="Arial" w:hAnsi="Arial" w:cs="Arial"/>
          <w:sz w:val="22"/>
          <w:szCs w:val="22"/>
        </w:rPr>
        <w:t>Der Gesamtbetrag der vorgesehenen Ermächtigungen zum Eingehen von Verpflichtungen, die künftige Haushaltsjahre mit Auszahlungen für Investitionen und Investitionsförderungsmaßnahmen belasten (Verpflichtungsermäch</w:t>
      </w:r>
      <w:r w:rsidR="00AC51BA" w:rsidRPr="002B1307">
        <w:rPr>
          <w:rFonts w:ascii="Arial" w:hAnsi="Arial" w:cs="Arial"/>
          <w:sz w:val="22"/>
          <w:szCs w:val="22"/>
        </w:rPr>
        <w:t>tigungen), wird festgesetzt auf:</w:t>
      </w:r>
      <w:r w:rsidRPr="002B1307">
        <w:rPr>
          <w:rFonts w:ascii="Arial" w:hAnsi="Arial" w:cs="Arial"/>
          <w:sz w:val="22"/>
          <w:szCs w:val="22"/>
        </w:rPr>
        <w:tab/>
      </w:r>
      <w:r w:rsidRPr="002B1307">
        <w:rPr>
          <w:rFonts w:ascii="Arial" w:hAnsi="Arial" w:cs="Arial"/>
          <w:sz w:val="22"/>
          <w:szCs w:val="22"/>
        </w:rPr>
        <w:tab/>
      </w:r>
      <w:r w:rsidRPr="002B1307">
        <w:rPr>
          <w:rFonts w:ascii="Arial" w:hAnsi="Arial" w:cs="Arial"/>
          <w:sz w:val="22"/>
          <w:szCs w:val="22"/>
        </w:rPr>
        <w:tab/>
      </w:r>
      <w:r w:rsidRPr="002B1307">
        <w:rPr>
          <w:rFonts w:ascii="Arial" w:hAnsi="Arial" w:cs="Arial"/>
          <w:sz w:val="22"/>
          <w:szCs w:val="22"/>
        </w:rPr>
        <w:tab/>
      </w:r>
      <w:r w:rsidRPr="002B1307">
        <w:rPr>
          <w:rFonts w:ascii="Arial" w:hAnsi="Arial" w:cs="Arial"/>
          <w:sz w:val="22"/>
          <w:szCs w:val="22"/>
        </w:rPr>
        <w:tab/>
      </w:r>
      <w:r w:rsidRPr="002B1307">
        <w:rPr>
          <w:rFonts w:ascii="Arial" w:hAnsi="Arial" w:cs="Arial"/>
          <w:sz w:val="22"/>
          <w:szCs w:val="22"/>
        </w:rPr>
        <w:tab/>
      </w:r>
      <w:r w:rsidRPr="002B1307">
        <w:rPr>
          <w:rFonts w:ascii="Arial" w:hAnsi="Arial" w:cs="Arial"/>
          <w:sz w:val="22"/>
          <w:szCs w:val="22"/>
        </w:rPr>
        <w:tab/>
      </w:r>
      <w:r w:rsidRPr="002B1307">
        <w:rPr>
          <w:rFonts w:ascii="Arial" w:hAnsi="Arial" w:cs="Arial"/>
          <w:sz w:val="22"/>
          <w:szCs w:val="22"/>
        </w:rPr>
        <w:tab/>
      </w:r>
      <w:r w:rsidRPr="002B1307">
        <w:rPr>
          <w:rFonts w:ascii="Arial" w:hAnsi="Arial" w:cs="Arial"/>
          <w:sz w:val="22"/>
          <w:szCs w:val="22"/>
        </w:rPr>
        <w:tab/>
      </w:r>
      <w:r w:rsidR="00AC51BA" w:rsidRPr="002B130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AC51BA" w:rsidRPr="002B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830.000</w:t>
      </w:r>
      <w:r w:rsidRPr="002B1307">
        <w:rPr>
          <w:rFonts w:ascii="Arial" w:hAnsi="Arial" w:cs="Arial"/>
          <w:sz w:val="22"/>
          <w:szCs w:val="22"/>
        </w:rPr>
        <w:t xml:space="preserve"> €.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8"/>
          <w:szCs w:val="18"/>
        </w:rPr>
      </w:pPr>
    </w:p>
    <w:p w:rsidR="00B85834" w:rsidRPr="002B1307" w:rsidRDefault="00731C59" w:rsidP="0010607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b/>
          <w:sz w:val="22"/>
          <w:szCs w:val="22"/>
        </w:rPr>
      </w:pPr>
      <w:r w:rsidRPr="002B1307">
        <w:rPr>
          <w:b/>
          <w:sz w:val="22"/>
          <w:szCs w:val="22"/>
        </w:rPr>
        <w:t>§ 4 Kassenkredite</w:t>
      </w: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b/>
          <w:sz w:val="22"/>
          <w:szCs w:val="22"/>
        </w:rPr>
      </w:pPr>
      <w:r w:rsidRPr="002B1307">
        <w:rPr>
          <w:b/>
          <w:sz w:val="22"/>
          <w:szCs w:val="22"/>
        </w:rPr>
        <w:t xml:space="preserve"> </w:t>
      </w:r>
    </w:p>
    <w:p w:rsidR="00B85834" w:rsidRPr="002B1307" w:rsidRDefault="00731C59" w:rsidP="00AC51BA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>Der Höchstbetrag der Kassenkredite wird festgesetzt auf</w:t>
      </w:r>
      <w:r w:rsidR="00AC51BA" w:rsidRPr="002B1307">
        <w:rPr>
          <w:sz w:val="22"/>
          <w:szCs w:val="22"/>
        </w:rPr>
        <w:t xml:space="preserve">:                    </w:t>
      </w:r>
      <w:r w:rsidRPr="002B1307">
        <w:rPr>
          <w:sz w:val="22"/>
          <w:szCs w:val="22"/>
        </w:rPr>
        <w:t xml:space="preserve"> </w:t>
      </w:r>
      <w:r w:rsidRPr="002B1307">
        <w:rPr>
          <w:sz w:val="22"/>
          <w:szCs w:val="22"/>
        </w:rPr>
        <w:tab/>
      </w:r>
      <w:r w:rsidR="00AC51BA" w:rsidRPr="002B1307">
        <w:rPr>
          <w:sz w:val="22"/>
          <w:szCs w:val="22"/>
        </w:rPr>
        <w:t xml:space="preserve">           </w:t>
      </w:r>
      <w:r w:rsidR="00C03D36" w:rsidRPr="002B1307">
        <w:rPr>
          <w:sz w:val="22"/>
          <w:szCs w:val="22"/>
        </w:rPr>
        <w:t xml:space="preserve">      </w:t>
      </w:r>
      <w:r w:rsidR="00AC51BA" w:rsidRPr="002B1307">
        <w:rPr>
          <w:sz w:val="22"/>
          <w:szCs w:val="22"/>
        </w:rPr>
        <w:t xml:space="preserve"> </w:t>
      </w:r>
      <w:r w:rsidR="00C03D36" w:rsidRPr="002B1307">
        <w:rPr>
          <w:sz w:val="22"/>
          <w:szCs w:val="22"/>
        </w:rPr>
        <w:t>90.000</w:t>
      </w:r>
      <w:r w:rsidRPr="002B1307">
        <w:rPr>
          <w:sz w:val="22"/>
          <w:szCs w:val="22"/>
        </w:rPr>
        <w:t xml:space="preserve"> €.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8"/>
          <w:szCs w:val="18"/>
        </w:rPr>
      </w:pP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8"/>
          <w:szCs w:val="18"/>
        </w:rPr>
      </w:pPr>
    </w:p>
    <w:p w:rsidR="00B85834" w:rsidRPr="002B1307" w:rsidRDefault="00731C59" w:rsidP="0010607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b/>
          <w:sz w:val="22"/>
          <w:szCs w:val="22"/>
        </w:rPr>
        <w:t>§ 5 Verbandsumlagen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>Der Gesamtbetrag der Umlagen nach § 12 der</w:t>
      </w: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>Verbandssatzung wird festgesetzt auf</w:t>
      </w:r>
      <w:r w:rsidR="00A736B4" w:rsidRPr="002B1307">
        <w:rPr>
          <w:sz w:val="22"/>
          <w:szCs w:val="22"/>
        </w:rPr>
        <w:t>:</w:t>
      </w:r>
      <w:r w:rsidRPr="002B1307">
        <w:rPr>
          <w:sz w:val="22"/>
          <w:szCs w:val="22"/>
        </w:rPr>
        <w:tab/>
      </w:r>
      <w:r w:rsidRPr="002B1307">
        <w:rPr>
          <w:sz w:val="22"/>
          <w:szCs w:val="22"/>
        </w:rPr>
        <w:tab/>
        <w:t>0 €.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>davon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8"/>
          <w:szCs w:val="18"/>
        </w:rPr>
      </w:pP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 xml:space="preserve">a) </w:t>
      </w:r>
      <w:r w:rsidRPr="002B1307">
        <w:rPr>
          <w:sz w:val="22"/>
          <w:szCs w:val="22"/>
        </w:rPr>
        <w:tab/>
      </w:r>
      <w:r w:rsidRPr="002B1307">
        <w:rPr>
          <w:sz w:val="22"/>
          <w:szCs w:val="22"/>
          <w:u w:val="single"/>
        </w:rPr>
        <w:t>im Ergebnishaushalt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2"/>
          <w:szCs w:val="12"/>
        </w:rPr>
      </w:pP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ab/>
        <w:t>Nach § 12 Absatz 4 der Verbandssatzung</w:t>
      </w: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ab/>
        <w:t>beteiligen sich die Verbandsmitglieder an</w:t>
      </w: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ab/>
        <w:t>der Finanzierung wie folgt: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2"/>
          <w:szCs w:val="12"/>
        </w:rPr>
      </w:pP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ab/>
        <w:t>Gemeinde Ingersheim</w:t>
      </w:r>
      <w:r w:rsidRPr="002B1307">
        <w:rPr>
          <w:sz w:val="22"/>
          <w:szCs w:val="22"/>
        </w:rPr>
        <w:tab/>
        <w:t>60 % =</w:t>
      </w:r>
      <w:r w:rsidRPr="002B1307">
        <w:rPr>
          <w:sz w:val="22"/>
          <w:szCs w:val="22"/>
        </w:rPr>
        <w:tab/>
      </w:r>
      <w:r w:rsidR="00E929AC" w:rsidRPr="002B1307">
        <w:rPr>
          <w:sz w:val="22"/>
          <w:szCs w:val="22"/>
        </w:rPr>
        <w:t>0 €.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2"/>
          <w:szCs w:val="12"/>
        </w:rPr>
      </w:pP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ab/>
        <w:t>Stadt Bietigheim-Bissingen</w:t>
      </w:r>
      <w:r w:rsidRPr="002B1307">
        <w:rPr>
          <w:sz w:val="22"/>
          <w:szCs w:val="22"/>
        </w:rPr>
        <w:tab/>
        <w:t>40 % =</w:t>
      </w:r>
      <w:r w:rsidRPr="002B1307">
        <w:rPr>
          <w:sz w:val="22"/>
          <w:szCs w:val="22"/>
        </w:rPr>
        <w:tab/>
      </w:r>
      <w:r w:rsidR="00E929AC" w:rsidRPr="002B1307">
        <w:rPr>
          <w:sz w:val="22"/>
          <w:szCs w:val="22"/>
        </w:rPr>
        <w:t>0 €.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18"/>
          <w:szCs w:val="18"/>
        </w:rPr>
      </w:pPr>
    </w:p>
    <w:p w:rsidR="00B85834" w:rsidRPr="002B1307" w:rsidRDefault="00731C59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  <w:r w:rsidRPr="002B1307">
        <w:rPr>
          <w:sz w:val="22"/>
          <w:szCs w:val="22"/>
        </w:rPr>
        <w:t>b)</w:t>
      </w:r>
      <w:r w:rsidRPr="002B1307">
        <w:rPr>
          <w:sz w:val="22"/>
          <w:szCs w:val="22"/>
        </w:rPr>
        <w:tab/>
      </w:r>
      <w:r w:rsidRPr="002B1307">
        <w:rPr>
          <w:sz w:val="22"/>
          <w:szCs w:val="22"/>
          <w:u w:val="single"/>
        </w:rPr>
        <w:t xml:space="preserve">im </w:t>
      </w:r>
      <w:r w:rsidR="00245198" w:rsidRPr="002B1307">
        <w:rPr>
          <w:sz w:val="22"/>
          <w:szCs w:val="22"/>
          <w:u w:val="single"/>
        </w:rPr>
        <w:t>investiven Bereich</w:t>
      </w:r>
      <w:r w:rsidRPr="002B1307">
        <w:rPr>
          <w:sz w:val="22"/>
          <w:szCs w:val="22"/>
        </w:rPr>
        <w:tab/>
      </w:r>
      <w:r w:rsidRPr="002B1307">
        <w:rPr>
          <w:sz w:val="22"/>
          <w:szCs w:val="22"/>
        </w:rPr>
        <w:tab/>
        <w:t>0 €.</w:t>
      </w:r>
    </w:p>
    <w:p w:rsidR="00B85834" w:rsidRPr="002B1307" w:rsidRDefault="00B85834" w:rsidP="00B8583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</w:p>
    <w:p w:rsidR="00B431B2" w:rsidRPr="006C6F7B" w:rsidRDefault="00B431B2" w:rsidP="00B431B2"/>
    <w:p w:rsidR="00B431B2" w:rsidRPr="006C6F7B" w:rsidRDefault="00731C59" w:rsidP="00B431B2">
      <w:pPr>
        <w:jc w:val="center"/>
        <w:rPr>
          <w:b/>
        </w:rPr>
      </w:pPr>
      <w:r w:rsidRPr="006C6F7B">
        <w:rPr>
          <w:b/>
        </w:rPr>
        <w:t>II.</w:t>
      </w:r>
    </w:p>
    <w:p w:rsidR="00B431B2" w:rsidRPr="006C6F7B" w:rsidRDefault="00731C59" w:rsidP="00B431B2">
      <w:r w:rsidRPr="006C6F7B">
        <w:t>Da</w:t>
      </w:r>
      <w:r w:rsidR="00275174" w:rsidRPr="006C6F7B">
        <w:t xml:space="preserve">s Regierungspräsidium Stuttgart </w:t>
      </w:r>
      <w:r w:rsidR="00AC51BA" w:rsidRPr="006C6F7B">
        <w:t xml:space="preserve">als Rechtsaufsichtsbehörde </w:t>
      </w:r>
      <w:r w:rsidRPr="006C6F7B">
        <w:t>hat die Gesetzmäßigkeit der Haushaltssa</w:t>
      </w:r>
      <w:r w:rsidR="00FA2967" w:rsidRPr="006C6F7B">
        <w:t>tzung für</w:t>
      </w:r>
      <w:r w:rsidR="00275174" w:rsidRPr="006C6F7B">
        <w:t xml:space="preserve"> das Haushaltsjahr 202</w:t>
      </w:r>
      <w:r w:rsidR="00DE1E8D">
        <w:t>5</w:t>
      </w:r>
      <w:r w:rsidRPr="006C6F7B">
        <w:t xml:space="preserve"> vom </w:t>
      </w:r>
      <w:r w:rsidR="00DE1E8D">
        <w:t>10.04.2025</w:t>
      </w:r>
      <w:r w:rsidRPr="006C6F7B">
        <w:t xml:space="preserve">, mit </w:t>
      </w:r>
      <w:r w:rsidR="00825DD2" w:rsidRPr="006C6F7B">
        <w:t xml:space="preserve">Erlass vom </w:t>
      </w:r>
      <w:r w:rsidR="005C3CDC">
        <w:t>15.04.2025</w:t>
      </w:r>
      <w:r w:rsidR="00F531D6" w:rsidRPr="006C6F7B">
        <w:t xml:space="preserve"> </w:t>
      </w:r>
      <w:r w:rsidRPr="006C6F7B">
        <w:t>gemäß § 18 GKZ i.V.m. § 81 Abs. 2 GemO und § 28 Abs. 1 GKZ i.V.m. § 121 Abs. 2 GemO bestätigt.</w:t>
      </w:r>
    </w:p>
    <w:p w:rsidR="00945A69" w:rsidRPr="005C3CDC" w:rsidRDefault="00945A69" w:rsidP="00B431B2"/>
    <w:p w:rsidR="006C6F7B" w:rsidRPr="005C3CDC" w:rsidRDefault="00731C59" w:rsidP="006C6F7B">
      <w:pPr>
        <w:overflowPunct/>
        <w:textAlignment w:val="auto"/>
      </w:pPr>
      <w:r w:rsidRPr="005C3CDC">
        <w:t>Die Haushaltssatzung sowie der Haushaltsplan für das Haushaltsjahr 202</w:t>
      </w:r>
      <w:r w:rsidR="005C3CDC" w:rsidRPr="005C3CDC">
        <w:t>5</w:t>
      </w:r>
      <w:r w:rsidRPr="005C3CDC">
        <w:t xml:space="preserve"> enthalten</w:t>
      </w:r>
    </w:p>
    <w:p w:rsidR="00F531D6" w:rsidRPr="005C3CDC" w:rsidRDefault="00731C59" w:rsidP="006C6F7B">
      <w:r w:rsidRPr="005C3CDC">
        <w:t>keine genehmigungspflichtigen Bestandteile.</w:t>
      </w:r>
    </w:p>
    <w:p w:rsidR="00945A69" w:rsidRPr="005C3CDC" w:rsidRDefault="00945A69" w:rsidP="00B431B2"/>
    <w:p w:rsidR="00B431B2" w:rsidRPr="006C6F7B" w:rsidRDefault="00731C59" w:rsidP="00B431B2">
      <w:pPr>
        <w:jc w:val="center"/>
        <w:rPr>
          <w:b/>
        </w:rPr>
      </w:pPr>
      <w:r w:rsidRPr="006C6F7B">
        <w:rPr>
          <w:b/>
        </w:rPr>
        <w:t>III.</w:t>
      </w:r>
    </w:p>
    <w:p w:rsidR="00AC51BA" w:rsidRPr="006C6F7B" w:rsidRDefault="00731C59" w:rsidP="00B431B2">
      <w:r w:rsidRPr="006C6F7B">
        <w:t>Die Haushaltss</w:t>
      </w:r>
      <w:r w:rsidR="00275174" w:rsidRPr="006C6F7B">
        <w:t>a</w:t>
      </w:r>
      <w:r w:rsidRPr="006C6F7B">
        <w:t>tzung für das Haushaltsjahr 202</w:t>
      </w:r>
      <w:r w:rsidR="005C3CDC">
        <w:t>5</w:t>
      </w:r>
      <w:r w:rsidRPr="006C6F7B">
        <w:t xml:space="preserve"> wird hiermit öffentlich bekannt gemacht. Gleichzeitig liegt der Haushaltsplan gemäß § 18 GKZ i.V.m. § 81 Abs. 3 GemO an sieben Tagen, und zwar von </w:t>
      </w:r>
      <w:r w:rsidR="00F967DA" w:rsidRPr="006C6F7B">
        <w:t>Montag</w:t>
      </w:r>
      <w:r w:rsidRPr="006C6F7B">
        <w:t xml:space="preserve">, </w:t>
      </w:r>
      <w:r w:rsidR="005C3CDC">
        <w:t>12.05.2025</w:t>
      </w:r>
      <w:r w:rsidR="00842BD1" w:rsidRPr="006C6F7B">
        <w:t xml:space="preserve"> </w:t>
      </w:r>
      <w:r w:rsidRPr="006C6F7B">
        <w:t xml:space="preserve">bis </w:t>
      </w:r>
      <w:r w:rsidR="00080728" w:rsidRPr="006C6F7B">
        <w:t>Dienstag</w:t>
      </w:r>
      <w:r w:rsidR="0061036B" w:rsidRPr="006C6F7B">
        <w:t xml:space="preserve">, </w:t>
      </w:r>
      <w:r w:rsidR="005C3CDC">
        <w:t>20.05.2025</w:t>
      </w:r>
      <w:r w:rsidRPr="006C6F7B">
        <w:t xml:space="preserve"> je einschließlich, auf dem Rathaus d</w:t>
      </w:r>
      <w:r w:rsidR="00842BD1" w:rsidRPr="006C6F7B">
        <w:t xml:space="preserve">er Gemeinde Ingersheim, Zimmer </w:t>
      </w:r>
      <w:r w:rsidR="008223D7" w:rsidRPr="006C6F7B">
        <w:t>1</w:t>
      </w:r>
      <w:r w:rsidRPr="006C6F7B">
        <w:t>, Hindenburgplatz 10, 74379 Ingersheim während der Dienststunden öffentlich aus.</w:t>
      </w:r>
    </w:p>
    <w:p w:rsidR="00AC51BA" w:rsidRPr="006C6F7B" w:rsidRDefault="00AC51BA" w:rsidP="00B431B2"/>
    <w:p w:rsidR="00945A69" w:rsidRPr="006C6F7B" w:rsidRDefault="00945A69" w:rsidP="00945A69">
      <w:pPr>
        <w:pStyle w:val="wfxRecipient"/>
        <w:tabs>
          <w:tab w:val="left" w:pos="567"/>
          <w:tab w:val="left" w:pos="4253"/>
          <w:tab w:val="right" w:pos="8505"/>
        </w:tabs>
        <w:rPr>
          <w:sz w:val="22"/>
        </w:rPr>
      </w:pPr>
    </w:p>
    <w:p w:rsidR="00275174" w:rsidRPr="006C6F7B" w:rsidRDefault="00731C59" w:rsidP="00945A69">
      <w:pPr>
        <w:pStyle w:val="wfxRecipient"/>
        <w:tabs>
          <w:tab w:val="left" w:pos="567"/>
          <w:tab w:val="left" w:pos="4253"/>
          <w:tab w:val="right" w:pos="8505"/>
        </w:tabs>
        <w:rPr>
          <w:sz w:val="22"/>
          <w:szCs w:val="22"/>
        </w:rPr>
      </w:pPr>
      <w:r w:rsidRPr="006C6F7B">
        <w:rPr>
          <w:sz w:val="22"/>
          <w:szCs w:val="22"/>
        </w:rPr>
        <w:t xml:space="preserve">Ingersheim, den </w:t>
      </w:r>
      <w:r w:rsidR="005C3CDC">
        <w:rPr>
          <w:sz w:val="22"/>
          <w:szCs w:val="22"/>
        </w:rPr>
        <w:t>07.05.2025</w:t>
      </w:r>
    </w:p>
    <w:p w:rsidR="00945A69" w:rsidRPr="006C6F7B" w:rsidRDefault="00945A69" w:rsidP="00945A69">
      <w:pPr>
        <w:pStyle w:val="wfxRecipient"/>
        <w:tabs>
          <w:tab w:val="left" w:pos="567"/>
          <w:tab w:val="left" w:pos="4253"/>
          <w:tab w:val="right" w:pos="8505"/>
        </w:tabs>
        <w:rPr>
          <w:sz w:val="22"/>
          <w:szCs w:val="22"/>
        </w:rPr>
      </w:pPr>
    </w:p>
    <w:p w:rsidR="00275174" w:rsidRPr="006C6F7B" w:rsidRDefault="00731C59" w:rsidP="00945A69">
      <w:pPr>
        <w:pStyle w:val="wfxRecipient"/>
        <w:tabs>
          <w:tab w:val="left" w:pos="567"/>
          <w:tab w:val="left" w:pos="4253"/>
          <w:tab w:val="right" w:pos="8505"/>
        </w:tabs>
        <w:rPr>
          <w:sz w:val="22"/>
          <w:szCs w:val="22"/>
        </w:rPr>
      </w:pPr>
      <w:r w:rsidRPr="006C6F7B">
        <w:rPr>
          <w:sz w:val="22"/>
          <w:szCs w:val="22"/>
        </w:rPr>
        <w:t>Vorsitzende der Verbandsversammlung</w:t>
      </w:r>
    </w:p>
    <w:p w:rsidR="00275174" w:rsidRPr="006C6F7B" w:rsidRDefault="00275174" w:rsidP="0027517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</w:p>
    <w:p w:rsidR="00275174" w:rsidRPr="006C6F7B" w:rsidRDefault="00275174" w:rsidP="00275174">
      <w:pPr>
        <w:pStyle w:val="wfxRecipient"/>
        <w:tabs>
          <w:tab w:val="left" w:pos="567"/>
          <w:tab w:val="left" w:pos="4253"/>
          <w:tab w:val="right" w:pos="8505"/>
        </w:tabs>
        <w:ind w:left="142"/>
        <w:rPr>
          <w:sz w:val="22"/>
          <w:szCs w:val="22"/>
        </w:rPr>
      </w:pPr>
    </w:p>
    <w:p w:rsidR="00245198" w:rsidRPr="006C6F7B" w:rsidRDefault="00245198" w:rsidP="00945A69">
      <w:pPr>
        <w:pStyle w:val="wfxRecipient"/>
        <w:tabs>
          <w:tab w:val="left" w:pos="567"/>
          <w:tab w:val="left" w:pos="4253"/>
          <w:tab w:val="right" w:pos="8505"/>
        </w:tabs>
        <w:rPr>
          <w:sz w:val="22"/>
          <w:szCs w:val="22"/>
        </w:rPr>
      </w:pPr>
    </w:p>
    <w:p w:rsidR="00275174" w:rsidRPr="006C6F7B" w:rsidRDefault="00731C59" w:rsidP="00945A69">
      <w:pPr>
        <w:pStyle w:val="wfxRecipient"/>
        <w:tabs>
          <w:tab w:val="left" w:pos="567"/>
          <w:tab w:val="left" w:pos="4253"/>
          <w:tab w:val="right" w:pos="8505"/>
        </w:tabs>
        <w:rPr>
          <w:sz w:val="22"/>
          <w:szCs w:val="22"/>
        </w:rPr>
      </w:pPr>
      <w:r w:rsidRPr="006C6F7B">
        <w:rPr>
          <w:sz w:val="22"/>
          <w:szCs w:val="22"/>
        </w:rPr>
        <w:t>Gez. Simone Lehnert</w:t>
      </w:r>
    </w:p>
    <w:p w:rsidR="00275174" w:rsidRPr="006C6F7B" w:rsidRDefault="00731C59" w:rsidP="00945A69">
      <w:pPr>
        <w:pStyle w:val="wfxRecipient"/>
        <w:tabs>
          <w:tab w:val="left" w:pos="567"/>
          <w:tab w:val="left" w:pos="4253"/>
          <w:tab w:val="right" w:pos="8505"/>
        </w:tabs>
        <w:rPr>
          <w:sz w:val="22"/>
          <w:szCs w:val="22"/>
        </w:rPr>
      </w:pPr>
      <w:r w:rsidRPr="006C6F7B">
        <w:rPr>
          <w:sz w:val="22"/>
          <w:szCs w:val="22"/>
        </w:rPr>
        <w:t>Verbandsvorsitzende</w:t>
      </w:r>
    </w:p>
    <w:p w:rsidR="00B431B2" w:rsidRPr="006C6F7B" w:rsidRDefault="00B431B2" w:rsidP="00275174"/>
    <w:sectPr w:rsidR="00B431B2" w:rsidRPr="006C6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213D"/>
    <w:multiLevelType w:val="hybridMultilevel"/>
    <w:tmpl w:val="210A043A"/>
    <w:lvl w:ilvl="0" w:tplc="9C1699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6095A6" w:tentative="1">
      <w:start w:val="1"/>
      <w:numFmt w:val="lowerLetter"/>
      <w:lvlText w:val="%2."/>
      <w:lvlJc w:val="left"/>
      <w:pPr>
        <w:ind w:left="1788" w:hanging="360"/>
      </w:pPr>
    </w:lvl>
    <w:lvl w:ilvl="2" w:tplc="7CBCB960" w:tentative="1">
      <w:start w:val="1"/>
      <w:numFmt w:val="lowerRoman"/>
      <w:lvlText w:val="%3."/>
      <w:lvlJc w:val="right"/>
      <w:pPr>
        <w:ind w:left="2508" w:hanging="180"/>
      </w:pPr>
    </w:lvl>
    <w:lvl w:ilvl="3" w:tplc="3CBC4AB8" w:tentative="1">
      <w:start w:val="1"/>
      <w:numFmt w:val="decimal"/>
      <w:lvlText w:val="%4."/>
      <w:lvlJc w:val="left"/>
      <w:pPr>
        <w:ind w:left="3228" w:hanging="360"/>
      </w:pPr>
    </w:lvl>
    <w:lvl w:ilvl="4" w:tplc="0DEA4F02" w:tentative="1">
      <w:start w:val="1"/>
      <w:numFmt w:val="lowerLetter"/>
      <w:lvlText w:val="%5."/>
      <w:lvlJc w:val="left"/>
      <w:pPr>
        <w:ind w:left="3948" w:hanging="360"/>
      </w:pPr>
    </w:lvl>
    <w:lvl w:ilvl="5" w:tplc="56C2E05A" w:tentative="1">
      <w:start w:val="1"/>
      <w:numFmt w:val="lowerRoman"/>
      <w:lvlText w:val="%6."/>
      <w:lvlJc w:val="right"/>
      <w:pPr>
        <w:ind w:left="4668" w:hanging="180"/>
      </w:pPr>
    </w:lvl>
    <w:lvl w:ilvl="6" w:tplc="9AD0A198" w:tentative="1">
      <w:start w:val="1"/>
      <w:numFmt w:val="decimal"/>
      <w:lvlText w:val="%7."/>
      <w:lvlJc w:val="left"/>
      <w:pPr>
        <w:ind w:left="5388" w:hanging="360"/>
      </w:pPr>
    </w:lvl>
    <w:lvl w:ilvl="7" w:tplc="DCA2BD2E" w:tentative="1">
      <w:start w:val="1"/>
      <w:numFmt w:val="lowerLetter"/>
      <w:lvlText w:val="%8."/>
      <w:lvlJc w:val="left"/>
      <w:pPr>
        <w:ind w:left="6108" w:hanging="360"/>
      </w:pPr>
    </w:lvl>
    <w:lvl w:ilvl="8" w:tplc="0A3E3B6C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CA"/>
    <w:rsid w:val="00001D42"/>
    <w:rsid w:val="00002253"/>
    <w:rsid w:val="00002E1E"/>
    <w:rsid w:val="00003783"/>
    <w:rsid w:val="0000395D"/>
    <w:rsid w:val="000041A1"/>
    <w:rsid w:val="00005F9A"/>
    <w:rsid w:val="00010A7E"/>
    <w:rsid w:val="00010AA8"/>
    <w:rsid w:val="00011138"/>
    <w:rsid w:val="00012431"/>
    <w:rsid w:val="00013365"/>
    <w:rsid w:val="00013D11"/>
    <w:rsid w:val="00016D8B"/>
    <w:rsid w:val="00016FE5"/>
    <w:rsid w:val="0001725F"/>
    <w:rsid w:val="0001758A"/>
    <w:rsid w:val="00020062"/>
    <w:rsid w:val="000220E6"/>
    <w:rsid w:val="000237A9"/>
    <w:rsid w:val="0003109E"/>
    <w:rsid w:val="00031C8F"/>
    <w:rsid w:val="00031F3C"/>
    <w:rsid w:val="00032DE8"/>
    <w:rsid w:val="00033BFE"/>
    <w:rsid w:val="0003456F"/>
    <w:rsid w:val="00034674"/>
    <w:rsid w:val="00035000"/>
    <w:rsid w:val="00036BBF"/>
    <w:rsid w:val="00037383"/>
    <w:rsid w:val="0004062D"/>
    <w:rsid w:val="00041763"/>
    <w:rsid w:val="00041D27"/>
    <w:rsid w:val="00043E11"/>
    <w:rsid w:val="00044393"/>
    <w:rsid w:val="00044599"/>
    <w:rsid w:val="00044FB8"/>
    <w:rsid w:val="00047027"/>
    <w:rsid w:val="0004702A"/>
    <w:rsid w:val="000471C1"/>
    <w:rsid w:val="00047894"/>
    <w:rsid w:val="00047BD3"/>
    <w:rsid w:val="000507B9"/>
    <w:rsid w:val="00051750"/>
    <w:rsid w:val="00053D6B"/>
    <w:rsid w:val="00054A75"/>
    <w:rsid w:val="00055C81"/>
    <w:rsid w:val="00055D21"/>
    <w:rsid w:val="000562CF"/>
    <w:rsid w:val="000613E0"/>
    <w:rsid w:val="000628AF"/>
    <w:rsid w:val="000628D9"/>
    <w:rsid w:val="000647A1"/>
    <w:rsid w:val="00065154"/>
    <w:rsid w:val="0006609B"/>
    <w:rsid w:val="00072F03"/>
    <w:rsid w:val="00072F0E"/>
    <w:rsid w:val="00076A1D"/>
    <w:rsid w:val="0007722D"/>
    <w:rsid w:val="0007767C"/>
    <w:rsid w:val="00080728"/>
    <w:rsid w:val="000809D3"/>
    <w:rsid w:val="00080C8B"/>
    <w:rsid w:val="000815CF"/>
    <w:rsid w:val="0008204E"/>
    <w:rsid w:val="00083249"/>
    <w:rsid w:val="0008345A"/>
    <w:rsid w:val="0009369C"/>
    <w:rsid w:val="000A1B68"/>
    <w:rsid w:val="000A397D"/>
    <w:rsid w:val="000A5460"/>
    <w:rsid w:val="000A547B"/>
    <w:rsid w:val="000A5930"/>
    <w:rsid w:val="000A7973"/>
    <w:rsid w:val="000B0166"/>
    <w:rsid w:val="000B01F8"/>
    <w:rsid w:val="000B0575"/>
    <w:rsid w:val="000B2C12"/>
    <w:rsid w:val="000B417F"/>
    <w:rsid w:val="000B5484"/>
    <w:rsid w:val="000B5637"/>
    <w:rsid w:val="000B7023"/>
    <w:rsid w:val="000B73DE"/>
    <w:rsid w:val="000B7481"/>
    <w:rsid w:val="000C002E"/>
    <w:rsid w:val="000C1F75"/>
    <w:rsid w:val="000C1FE9"/>
    <w:rsid w:val="000C23C7"/>
    <w:rsid w:val="000C32E3"/>
    <w:rsid w:val="000C4229"/>
    <w:rsid w:val="000C4756"/>
    <w:rsid w:val="000C48F9"/>
    <w:rsid w:val="000C4F6A"/>
    <w:rsid w:val="000C5B67"/>
    <w:rsid w:val="000D2D24"/>
    <w:rsid w:val="000D3944"/>
    <w:rsid w:val="000D3B7F"/>
    <w:rsid w:val="000D64AA"/>
    <w:rsid w:val="000E0749"/>
    <w:rsid w:val="000E1A8B"/>
    <w:rsid w:val="000E1F17"/>
    <w:rsid w:val="000E3BE6"/>
    <w:rsid w:val="000E47E4"/>
    <w:rsid w:val="000E4B2B"/>
    <w:rsid w:val="000E606A"/>
    <w:rsid w:val="000E7089"/>
    <w:rsid w:val="000E751E"/>
    <w:rsid w:val="000F0153"/>
    <w:rsid w:val="000F028A"/>
    <w:rsid w:val="000F2923"/>
    <w:rsid w:val="000F6392"/>
    <w:rsid w:val="000F645E"/>
    <w:rsid w:val="000F678D"/>
    <w:rsid w:val="000F79CF"/>
    <w:rsid w:val="000F7F84"/>
    <w:rsid w:val="0010024E"/>
    <w:rsid w:val="00101658"/>
    <w:rsid w:val="00102385"/>
    <w:rsid w:val="00102DE4"/>
    <w:rsid w:val="00103DBF"/>
    <w:rsid w:val="00103E5A"/>
    <w:rsid w:val="00106074"/>
    <w:rsid w:val="0010647A"/>
    <w:rsid w:val="001126C4"/>
    <w:rsid w:val="001149C4"/>
    <w:rsid w:val="00114AA8"/>
    <w:rsid w:val="0011563B"/>
    <w:rsid w:val="001177E9"/>
    <w:rsid w:val="00120A06"/>
    <w:rsid w:val="00120DA6"/>
    <w:rsid w:val="00123BF2"/>
    <w:rsid w:val="00125365"/>
    <w:rsid w:val="00126CA4"/>
    <w:rsid w:val="00126E2B"/>
    <w:rsid w:val="0012772B"/>
    <w:rsid w:val="00135AAB"/>
    <w:rsid w:val="00137CF5"/>
    <w:rsid w:val="00137DF8"/>
    <w:rsid w:val="00141D08"/>
    <w:rsid w:val="00143E5E"/>
    <w:rsid w:val="00144653"/>
    <w:rsid w:val="001446ED"/>
    <w:rsid w:val="00145F31"/>
    <w:rsid w:val="0015023C"/>
    <w:rsid w:val="00151326"/>
    <w:rsid w:val="00151EF9"/>
    <w:rsid w:val="00152CEF"/>
    <w:rsid w:val="0015373A"/>
    <w:rsid w:val="00153A3F"/>
    <w:rsid w:val="001557DF"/>
    <w:rsid w:val="00160632"/>
    <w:rsid w:val="00162F2B"/>
    <w:rsid w:val="001637BA"/>
    <w:rsid w:val="00165576"/>
    <w:rsid w:val="00166BC2"/>
    <w:rsid w:val="00167709"/>
    <w:rsid w:val="00167DC6"/>
    <w:rsid w:val="00167F2F"/>
    <w:rsid w:val="00171281"/>
    <w:rsid w:val="00171E50"/>
    <w:rsid w:val="00172ED9"/>
    <w:rsid w:val="00175D36"/>
    <w:rsid w:val="0017654B"/>
    <w:rsid w:val="001769F5"/>
    <w:rsid w:val="001770E7"/>
    <w:rsid w:val="00181033"/>
    <w:rsid w:val="00181A51"/>
    <w:rsid w:val="00182459"/>
    <w:rsid w:val="001826F0"/>
    <w:rsid w:val="00185EE7"/>
    <w:rsid w:val="00186F48"/>
    <w:rsid w:val="00187630"/>
    <w:rsid w:val="00187ABB"/>
    <w:rsid w:val="001902C4"/>
    <w:rsid w:val="00191086"/>
    <w:rsid w:val="00191C38"/>
    <w:rsid w:val="00197BC1"/>
    <w:rsid w:val="00197BD7"/>
    <w:rsid w:val="00197FF9"/>
    <w:rsid w:val="001A2E76"/>
    <w:rsid w:val="001A3240"/>
    <w:rsid w:val="001A3A84"/>
    <w:rsid w:val="001A51C8"/>
    <w:rsid w:val="001A66C9"/>
    <w:rsid w:val="001A71DE"/>
    <w:rsid w:val="001A7DF3"/>
    <w:rsid w:val="001B171E"/>
    <w:rsid w:val="001B30DB"/>
    <w:rsid w:val="001B424E"/>
    <w:rsid w:val="001B55AC"/>
    <w:rsid w:val="001B5833"/>
    <w:rsid w:val="001B687A"/>
    <w:rsid w:val="001B6FA6"/>
    <w:rsid w:val="001C27CE"/>
    <w:rsid w:val="001C3530"/>
    <w:rsid w:val="001C4601"/>
    <w:rsid w:val="001C6D64"/>
    <w:rsid w:val="001C735E"/>
    <w:rsid w:val="001C7A08"/>
    <w:rsid w:val="001D117E"/>
    <w:rsid w:val="001D31FF"/>
    <w:rsid w:val="001D38B0"/>
    <w:rsid w:val="001D5C03"/>
    <w:rsid w:val="001D6985"/>
    <w:rsid w:val="001E13DB"/>
    <w:rsid w:val="001E204F"/>
    <w:rsid w:val="001E25CC"/>
    <w:rsid w:val="001E3AB2"/>
    <w:rsid w:val="001E3E53"/>
    <w:rsid w:val="001E5EBB"/>
    <w:rsid w:val="001E7B34"/>
    <w:rsid w:val="001F1D40"/>
    <w:rsid w:val="001F372E"/>
    <w:rsid w:val="001F3B7F"/>
    <w:rsid w:val="001F563A"/>
    <w:rsid w:val="001F70CF"/>
    <w:rsid w:val="00201599"/>
    <w:rsid w:val="002046AF"/>
    <w:rsid w:val="00205212"/>
    <w:rsid w:val="00205B99"/>
    <w:rsid w:val="00210E7A"/>
    <w:rsid w:val="002112AF"/>
    <w:rsid w:val="00211DCD"/>
    <w:rsid w:val="002129C6"/>
    <w:rsid w:val="00213372"/>
    <w:rsid w:val="00214AA9"/>
    <w:rsid w:val="002150F1"/>
    <w:rsid w:val="00215D2F"/>
    <w:rsid w:val="0021651A"/>
    <w:rsid w:val="002166DC"/>
    <w:rsid w:val="00216709"/>
    <w:rsid w:val="00216AA9"/>
    <w:rsid w:val="0021721C"/>
    <w:rsid w:val="00220085"/>
    <w:rsid w:val="00221EA8"/>
    <w:rsid w:val="002222DB"/>
    <w:rsid w:val="00222E17"/>
    <w:rsid w:val="00223645"/>
    <w:rsid w:val="002253BE"/>
    <w:rsid w:val="00226A0B"/>
    <w:rsid w:val="00227A91"/>
    <w:rsid w:val="002302F3"/>
    <w:rsid w:val="0023232F"/>
    <w:rsid w:val="0023334C"/>
    <w:rsid w:val="00233A91"/>
    <w:rsid w:val="00235057"/>
    <w:rsid w:val="0023519E"/>
    <w:rsid w:val="00237074"/>
    <w:rsid w:val="002376C8"/>
    <w:rsid w:val="002417A1"/>
    <w:rsid w:val="00242A35"/>
    <w:rsid w:val="00242C74"/>
    <w:rsid w:val="0024368C"/>
    <w:rsid w:val="0024370D"/>
    <w:rsid w:val="00245198"/>
    <w:rsid w:val="002458E2"/>
    <w:rsid w:val="00245CBB"/>
    <w:rsid w:val="002543F0"/>
    <w:rsid w:val="00254BE8"/>
    <w:rsid w:val="00254FD8"/>
    <w:rsid w:val="00255F6F"/>
    <w:rsid w:val="00256D19"/>
    <w:rsid w:val="0025729C"/>
    <w:rsid w:val="00257488"/>
    <w:rsid w:val="00261692"/>
    <w:rsid w:val="0026171D"/>
    <w:rsid w:val="0026237E"/>
    <w:rsid w:val="00263229"/>
    <w:rsid w:val="00263AC7"/>
    <w:rsid w:val="00263B62"/>
    <w:rsid w:val="00266BF9"/>
    <w:rsid w:val="00266F56"/>
    <w:rsid w:val="002710C9"/>
    <w:rsid w:val="002710F6"/>
    <w:rsid w:val="00274E82"/>
    <w:rsid w:val="00275174"/>
    <w:rsid w:val="00280B37"/>
    <w:rsid w:val="00281732"/>
    <w:rsid w:val="00281AB4"/>
    <w:rsid w:val="00281B73"/>
    <w:rsid w:val="00282968"/>
    <w:rsid w:val="00285226"/>
    <w:rsid w:val="00286F72"/>
    <w:rsid w:val="00290726"/>
    <w:rsid w:val="002913BE"/>
    <w:rsid w:val="0029171D"/>
    <w:rsid w:val="00293CFA"/>
    <w:rsid w:val="00294B60"/>
    <w:rsid w:val="002955F7"/>
    <w:rsid w:val="002959FB"/>
    <w:rsid w:val="00295F2C"/>
    <w:rsid w:val="00297662"/>
    <w:rsid w:val="002A0816"/>
    <w:rsid w:val="002A0AC6"/>
    <w:rsid w:val="002A34F9"/>
    <w:rsid w:val="002A6C1B"/>
    <w:rsid w:val="002A717B"/>
    <w:rsid w:val="002A7243"/>
    <w:rsid w:val="002A7D1B"/>
    <w:rsid w:val="002B08EA"/>
    <w:rsid w:val="002B0F58"/>
    <w:rsid w:val="002B1307"/>
    <w:rsid w:val="002B1D48"/>
    <w:rsid w:val="002B3DF6"/>
    <w:rsid w:val="002B43D0"/>
    <w:rsid w:val="002B499A"/>
    <w:rsid w:val="002B4AED"/>
    <w:rsid w:val="002B4E1E"/>
    <w:rsid w:val="002B5FB9"/>
    <w:rsid w:val="002B6443"/>
    <w:rsid w:val="002B7C9B"/>
    <w:rsid w:val="002B7D87"/>
    <w:rsid w:val="002C0BA1"/>
    <w:rsid w:val="002C115B"/>
    <w:rsid w:val="002C3FD5"/>
    <w:rsid w:val="002C4C47"/>
    <w:rsid w:val="002C4CAF"/>
    <w:rsid w:val="002C5E30"/>
    <w:rsid w:val="002C795A"/>
    <w:rsid w:val="002D0F3D"/>
    <w:rsid w:val="002D2316"/>
    <w:rsid w:val="002D73CF"/>
    <w:rsid w:val="002D76A2"/>
    <w:rsid w:val="002E23A5"/>
    <w:rsid w:val="002E2B67"/>
    <w:rsid w:val="002E44AB"/>
    <w:rsid w:val="002E4A14"/>
    <w:rsid w:val="002E678C"/>
    <w:rsid w:val="002F37E4"/>
    <w:rsid w:val="002F44D7"/>
    <w:rsid w:val="002F53D8"/>
    <w:rsid w:val="002F5865"/>
    <w:rsid w:val="002F6533"/>
    <w:rsid w:val="003009A5"/>
    <w:rsid w:val="00302552"/>
    <w:rsid w:val="003111F4"/>
    <w:rsid w:val="00311E3C"/>
    <w:rsid w:val="0031272F"/>
    <w:rsid w:val="003143D6"/>
    <w:rsid w:val="003148B9"/>
    <w:rsid w:val="00315F23"/>
    <w:rsid w:val="0031661C"/>
    <w:rsid w:val="00320202"/>
    <w:rsid w:val="00322037"/>
    <w:rsid w:val="003240D6"/>
    <w:rsid w:val="00324733"/>
    <w:rsid w:val="00324A4B"/>
    <w:rsid w:val="00325AE9"/>
    <w:rsid w:val="00325B1D"/>
    <w:rsid w:val="00326B34"/>
    <w:rsid w:val="00327648"/>
    <w:rsid w:val="003301C8"/>
    <w:rsid w:val="0033168B"/>
    <w:rsid w:val="00331B13"/>
    <w:rsid w:val="003325B0"/>
    <w:rsid w:val="00333978"/>
    <w:rsid w:val="00333F40"/>
    <w:rsid w:val="0033592B"/>
    <w:rsid w:val="00335A04"/>
    <w:rsid w:val="003419CC"/>
    <w:rsid w:val="00343CA0"/>
    <w:rsid w:val="00344FD3"/>
    <w:rsid w:val="00345E75"/>
    <w:rsid w:val="00346ECC"/>
    <w:rsid w:val="00347B87"/>
    <w:rsid w:val="00356D38"/>
    <w:rsid w:val="00357394"/>
    <w:rsid w:val="003604FC"/>
    <w:rsid w:val="00361780"/>
    <w:rsid w:val="00366C2A"/>
    <w:rsid w:val="00366D49"/>
    <w:rsid w:val="0036733B"/>
    <w:rsid w:val="00367F8D"/>
    <w:rsid w:val="00372B28"/>
    <w:rsid w:val="00372E9C"/>
    <w:rsid w:val="00372FD3"/>
    <w:rsid w:val="00373E45"/>
    <w:rsid w:val="00374219"/>
    <w:rsid w:val="0037571D"/>
    <w:rsid w:val="00377811"/>
    <w:rsid w:val="00377C82"/>
    <w:rsid w:val="00380320"/>
    <w:rsid w:val="0038170F"/>
    <w:rsid w:val="00381B12"/>
    <w:rsid w:val="00382434"/>
    <w:rsid w:val="003832FE"/>
    <w:rsid w:val="003851FA"/>
    <w:rsid w:val="0038766A"/>
    <w:rsid w:val="003910D6"/>
    <w:rsid w:val="00391225"/>
    <w:rsid w:val="003919B3"/>
    <w:rsid w:val="0039203E"/>
    <w:rsid w:val="00394A79"/>
    <w:rsid w:val="00395678"/>
    <w:rsid w:val="00395815"/>
    <w:rsid w:val="0039659C"/>
    <w:rsid w:val="003A2738"/>
    <w:rsid w:val="003A308B"/>
    <w:rsid w:val="003A3B70"/>
    <w:rsid w:val="003A4589"/>
    <w:rsid w:val="003A7270"/>
    <w:rsid w:val="003A7446"/>
    <w:rsid w:val="003B0DCE"/>
    <w:rsid w:val="003B15B6"/>
    <w:rsid w:val="003B1824"/>
    <w:rsid w:val="003B1CF1"/>
    <w:rsid w:val="003B4A08"/>
    <w:rsid w:val="003B5750"/>
    <w:rsid w:val="003B5ECA"/>
    <w:rsid w:val="003B754C"/>
    <w:rsid w:val="003C1CA7"/>
    <w:rsid w:val="003C26E0"/>
    <w:rsid w:val="003C2C7A"/>
    <w:rsid w:val="003C36D4"/>
    <w:rsid w:val="003C4053"/>
    <w:rsid w:val="003C4BD7"/>
    <w:rsid w:val="003C71C1"/>
    <w:rsid w:val="003C7679"/>
    <w:rsid w:val="003D1A15"/>
    <w:rsid w:val="003D29D0"/>
    <w:rsid w:val="003D30E3"/>
    <w:rsid w:val="003D3E56"/>
    <w:rsid w:val="003D4F53"/>
    <w:rsid w:val="003D7D5A"/>
    <w:rsid w:val="003E0820"/>
    <w:rsid w:val="003E0A87"/>
    <w:rsid w:val="003E162B"/>
    <w:rsid w:val="003E1FFF"/>
    <w:rsid w:val="003E5222"/>
    <w:rsid w:val="003E57B0"/>
    <w:rsid w:val="003E6C1F"/>
    <w:rsid w:val="003E7DF2"/>
    <w:rsid w:val="003F151E"/>
    <w:rsid w:val="003F1855"/>
    <w:rsid w:val="003F2016"/>
    <w:rsid w:val="003F2CA4"/>
    <w:rsid w:val="003F4A72"/>
    <w:rsid w:val="003F4C41"/>
    <w:rsid w:val="003F5174"/>
    <w:rsid w:val="003F5E2B"/>
    <w:rsid w:val="003F693B"/>
    <w:rsid w:val="003F6FD1"/>
    <w:rsid w:val="004004CA"/>
    <w:rsid w:val="004011AD"/>
    <w:rsid w:val="004014DB"/>
    <w:rsid w:val="00402329"/>
    <w:rsid w:val="00402E0C"/>
    <w:rsid w:val="00404FCB"/>
    <w:rsid w:val="00405C03"/>
    <w:rsid w:val="00406FEA"/>
    <w:rsid w:val="00411A24"/>
    <w:rsid w:val="004128A8"/>
    <w:rsid w:val="00413466"/>
    <w:rsid w:val="0041409C"/>
    <w:rsid w:val="00414605"/>
    <w:rsid w:val="00414BC3"/>
    <w:rsid w:val="0042044E"/>
    <w:rsid w:val="00420623"/>
    <w:rsid w:val="00420754"/>
    <w:rsid w:val="00422331"/>
    <w:rsid w:val="00423E0F"/>
    <w:rsid w:val="0042439A"/>
    <w:rsid w:val="004256AC"/>
    <w:rsid w:val="00425982"/>
    <w:rsid w:val="00425D61"/>
    <w:rsid w:val="00426B7A"/>
    <w:rsid w:val="00427A62"/>
    <w:rsid w:val="00427E08"/>
    <w:rsid w:val="00427ECC"/>
    <w:rsid w:val="0043039B"/>
    <w:rsid w:val="004325D7"/>
    <w:rsid w:val="00434E6C"/>
    <w:rsid w:val="004362A2"/>
    <w:rsid w:val="00436EA5"/>
    <w:rsid w:val="00440834"/>
    <w:rsid w:val="004411E1"/>
    <w:rsid w:val="00441F3F"/>
    <w:rsid w:val="004420F2"/>
    <w:rsid w:val="004421D5"/>
    <w:rsid w:val="00442343"/>
    <w:rsid w:val="00444785"/>
    <w:rsid w:val="00446E47"/>
    <w:rsid w:val="0045062F"/>
    <w:rsid w:val="00450D4C"/>
    <w:rsid w:val="00451FCE"/>
    <w:rsid w:val="00453078"/>
    <w:rsid w:val="00455BB7"/>
    <w:rsid w:val="00456791"/>
    <w:rsid w:val="00460EE5"/>
    <w:rsid w:val="00462060"/>
    <w:rsid w:val="00462E14"/>
    <w:rsid w:val="0046547A"/>
    <w:rsid w:val="00466365"/>
    <w:rsid w:val="004717AA"/>
    <w:rsid w:val="004731AC"/>
    <w:rsid w:val="004739DD"/>
    <w:rsid w:val="00473EA8"/>
    <w:rsid w:val="00475700"/>
    <w:rsid w:val="004777CE"/>
    <w:rsid w:val="0048172C"/>
    <w:rsid w:val="00483E69"/>
    <w:rsid w:val="00484299"/>
    <w:rsid w:val="00487854"/>
    <w:rsid w:val="00487BFA"/>
    <w:rsid w:val="00487C58"/>
    <w:rsid w:val="00487EBC"/>
    <w:rsid w:val="00490E9F"/>
    <w:rsid w:val="00491103"/>
    <w:rsid w:val="00493D89"/>
    <w:rsid w:val="00495835"/>
    <w:rsid w:val="00495A96"/>
    <w:rsid w:val="0049788F"/>
    <w:rsid w:val="00497D05"/>
    <w:rsid w:val="004A00D0"/>
    <w:rsid w:val="004A1CB7"/>
    <w:rsid w:val="004A1DBB"/>
    <w:rsid w:val="004A2C1C"/>
    <w:rsid w:val="004A347E"/>
    <w:rsid w:val="004A3FEB"/>
    <w:rsid w:val="004A5631"/>
    <w:rsid w:val="004A5DF3"/>
    <w:rsid w:val="004A7585"/>
    <w:rsid w:val="004A7FAF"/>
    <w:rsid w:val="004B09CB"/>
    <w:rsid w:val="004B210B"/>
    <w:rsid w:val="004B2EC0"/>
    <w:rsid w:val="004B2F07"/>
    <w:rsid w:val="004B7BD0"/>
    <w:rsid w:val="004C146A"/>
    <w:rsid w:val="004C1E4E"/>
    <w:rsid w:val="004C3067"/>
    <w:rsid w:val="004C38C3"/>
    <w:rsid w:val="004C42FB"/>
    <w:rsid w:val="004C4856"/>
    <w:rsid w:val="004C5061"/>
    <w:rsid w:val="004C5332"/>
    <w:rsid w:val="004C54C4"/>
    <w:rsid w:val="004C57F2"/>
    <w:rsid w:val="004C5B41"/>
    <w:rsid w:val="004C6E75"/>
    <w:rsid w:val="004C73F5"/>
    <w:rsid w:val="004C775C"/>
    <w:rsid w:val="004D11D8"/>
    <w:rsid w:val="004D24BB"/>
    <w:rsid w:val="004D42F0"/>
    <w:rsid w:val="004D45BA"/>
    <w:rsid w:val="004D6DA6"/>
    <w:rsid w:val="004D7288"/>
    <w:rsid w:val="004E0F4D"/>
    <w:rsid w:val="004E4F2A"/>
    <w:rsid w:val="004E5CA0"/>
    <w:rsid w:val="004E604B"/>
    <w:rsid w:val="004F2FA4"/>
    <w:rsid w:val="004F2FAE"/>
    <w:rsid w:val="004F3064"/>
    <w:rsid w:val="004F4328"/>
    <w:rsid w:val="004F4370"/>
    <w:rsid w:val="004F467D"/>
    <w:rsid w:val="004F4712"/>
    <w:rsid w:val="004F4A85"/>
    <w:rsid w:val="004F4F8B"/>
    <w:rsid w:val="004F5102"/>
    <w:rsid w:val="004F5852"/>
    <w:rsid w:val="004F6B73"/>
    <w:rsid w:val="00502270"/>
    <w:rsid w:val="005031F7"/>
    <w:rsid w:val="0050468A"/>
    <w:rsid w:val="0050515E"/>
    <w:rsid w:val="00507425"/>
    <w:rsid w:val="00507DA2"/>
    <w:rsid w:val="00511256"/>
    <w:rsid w:val="005119EB"/>
    <w:rsid w:val="00514744"/>
    <w:rsid w:val="0052060D"/>
    <w:rsid w:val="00521B2B"/>
    <w:rsid w:val="005227DB"/>
    <w:rsid w:val="0052392B"/>
    <w:rsid w:val="00524C5A"/>
    <w:rsid w:val="00524E0B"/>
    <w:rsid w:val="00525FF7"/>
    <w:rsid w:val="005308CE"/>
    <w:rsid w:val="00532953"/>
    <w:rsid w:val="005334C3"/>
    <w:rsid w:val="0053472A"/>
    <w:rsid w:val="00536BFE"/>
    <w:rsid w:val="0053727B"/>
    <w:rsid w:val="00537781"/>
    <w:rsid w:val="0054119B"/>
    <w:rsid w:val="005428B4"/>
    <w:rsid w:val="00545CAD"/>
    <w:rsid w:val="0054630C"/>
    <w:rsid w:val="00546718"/>
    <w:rsid w:val="00550620"/>
    <w:rsid w:val="0055132C"/>
    <w:rsid w:val="0055436A"/>
    <w:rsid w:val="00555898"/>
    <w:rsid w:val="0055606D"/>
    <w:rsid w:val="005601D0"/>
    <w:rsid w:val="0056192B"/>
    <w:rsid w:val="005628D5"/>
    <w:rsid w:val="00563C89"/>
    <w:rsid w:val="00564663"/>
    <w:rsid w:val="005675D3"/>
    <w:rsid w:val="00572185"/>
    <w:rsid w:val="0057235A"/>
    <w:rsid w:val="0057356A"/>
    <w:rsid w:val="00573AB8"/>
    <w:rsid w:val="005755DD"/>
    <w:rsid w:val="005761B4"/>
    <w:rsid w:val="00577F25"/>
    <w:rsid w:val="00582628"/>
    <w:rsid w:val="00583DC5"/>
    <w:rsid w:val="0058423F"/>
    <w:rsid w:val="00584B65"/>
    <w:rsid w:val="005850B2"/>
    <w:rsid w:val="00585A47"/>
    <w:rsid w:val="00585B52"/>
    <w:rsid w:val="005864D9"/>
    <w:rsid w:val="0058665A"/>
    <w:rsid w:val="00586BFB"/>
    <w:rsid w:val="00591276"/>
    <w:rsid w:val="005916A6"/>
    <w:rsid w:val="005925C8"/>
    <w:rsid w:val="00592A02"/>
    <w:rsid w:val="005933F5"/>
    <w:rsid w:val="00595411"/>
    <w:rsid w:val="00595D28"/>
    <w:rsid w:val="005966E3"/>
    <w:rsid w:val="005A0313"/>
    <w:rsid w:val="005A1393"/>
    <w:rsid w:val="005A25E3"/>
    <w:rsid w:val="005A2D41"/>
    <w:rsid w:val="005A2EBB"/>
    <w:rsid w:val="005A387A"/>
    <w:rsid w:val="005A3AF5"/>
    <w:rsid w:val="005A4809"/>
    <w:rsid w:val="005A5AA4"/>
    <w:rsid w:val="005A5D0F"/>
    <w:rsid w:val="005A62CC"/>
    <w:rsid w:val="005A6DA8"/>
    <w:rsid w:val="005A783B"/>
    <w:rsid w:val="005A7AA7"/>
    <w:rsid w:val="005B0FDD"/>
    <w:rsid w:val="005B2019"/>
    <w:rsid w:val="005B49EA"/>
    <w:rsid w:val="005C0A55"/>
    <w:rsid w:val="005C0AC7"/>
    <w:rsid w:val="005C0D15"/>
    <w:rsid w:val="005C0E1A"/>
    <w:rsid w:val="005C11BE"/>
    <w:rsid w:val="005C3CDC"/>
    <w:rsid w:val="005C5602"/>
    <w:rsid w:val="005C5A53"/>
    <w:rsid w:val="005C6452"/>
    <w:rsid w:val="005C7539"/>
    <w:rsid w:val="005C7CB3"/>
    <w:rsid w:val="005C7F42"/>
    <w:rsid w:val="005D0543"/>
    <w:rsid w:val="005D3630"/>
    <w:rsid w:val="005D4FC5"/>
    <w:rsid w:val="005D71FC"/>
    <w:rsid w:val="005D7DDA"/>
    <w:rsid w:val="005E092C"/>
    <w:rsid w:val="005E1BE6"/>
    <w:rsid w:val="005E2C36"/>
    <w:rsid w:val="005E2D8D"/>
    <w:rsid w:val="005E2D9F"/>
    <w:rsid w:val="005E3548"/>
    <w:rsid w:val="005E4C1F"/>
    <w:rsid w:val="005E5F48"/>
    <w:rsid w:val="005E64F2"/>
    <w:rsid w:val="005E690B"/>
    <w:rsid w:val="005F0501"/>
    <w:rsid w:val="005F16D0"/>
    <w:rsid w:val="005F1F36"/>
    <w:rsid w:val="005F2C1E"/>
    <w:rsid w:val="005F37A7"/>
    <w:rsid w:val="005F3C61"/>
    <w:rsid w:val="005F75BD"/>
    <w:rsid w:val="00600CC5"/>
    <w:rsid w:val="00604BFC"/>
    <w:rsid w:val="006059B3"/>
    <w:rsid w:val="00605A00"/>
    <w:rsid w:val="00605F0F"/>
    <w:rsid w:val="00606399"/>
    <w:rsid w:val="006069ED"/>
    <w:rsid w:val="00607BF7"/>
    <w:rsid w:val="00607F46"/>
    <w:rsid w:val="0061036B"/>
    <w:rsid w:val="00610CF1"/>
    <w:rsid w:val="006113DD"/>
    <w:rsid w:val="00614E50"/>
    <w:rsid w:val="006153DB"/>
    <w:rsid w:val="006201C2"/>
    <w:rsid w:val="00620675"/>
    <w:rsid w:val="00620C7D"/>
    <w:rsid w:val="00620E85"/>
    <w:rsid w:val="00624CD4"/>
    <w:rsid w:val="006272DB"/>
    <w:rsid w:val="006304A6"/>
    <w:rsid w:val="00631527"/>
    <w:rsid w:val="00631D55"/>
    <w:rsid w:val="00631ED0"/>
    <w:rsid w:val="0063240C"/>
    <w:rsid w:val="0063331D"/>
    <w:rsid w:val="0063483B"/>
    <w:rsid w:val="006365BB"/>
    <w:rsid w:val="00636A98"/>
    <w:rsid w:val="00637992"/>
    <w:rsid w:val="006416B2"/>
    <w:rsid w:val="00643C0F"/>
    <w:rsid w:val="00645785"/>
    <w:rsid w:val="00645DCF"/>
    <w:rsid w:val="00646BC1"/>
    <w:rsid w:val="00652265"/>
    <w:rsid w:val="006535F6"/>
    <w:rsid w:val="00654169"/>
    <w:rsid w:val="006629CA"/>
    <w:rsid w:val="006660BD"/>
    <w:rsid w:val="006669CC"/>
    <w:rsid w:val="00667387"/>
    <w:rsid w:val="00670E67"/>
    <w:rsid w:val="00671868"/>
    <w:rsid w:val="006722B1"/>
    <w:rsid w:val="006722C3"/>
    <w:rsid w:val="006724A4"/>
    <w:rsid w:val="00672825"/>
    <w:rsid w:val="00672AC4"/>
    <w:rsid w:val="006745F6"/>
    <w:rsid w:val="006754B1"/>
    <w:rsid w:val="0068270D"/>
    <w:rsid w:val="006836FC"/>
    <w:rsid w:val="00684C68"/>
    <w:rsid w:val="00684EF5"/>
    <w:rsid w:val="006902B2"/>
    <w:rsid w:val="0069076B"/>
    <w:rsid w:val="006921BA"/>
    <w:rsid w:val="00693B64"/>
    <w:rsid w:val="00695F8A"/>
    <w:rsid w:val="00696336"/>
    <w:rsid w:val="00697823"/>
    <w:rsid w:val="00697906"/>
    <w:rsid w:val="006A15BF"/>
    <w:rsid w:val="006A16A1"/>
    <w:rsid w:val="006A4C14"/>
    <w:rsid w:val="006A5D7C"/>
    <w:rsid w:val="006A77A8"/>
    <w:rsid w:val="006B399B"/>
    <w:rsid w:val="006B3D58"/>
    <w:rsid w:val="006B4859"/>
    <w:rsid w:val="006B499C"/>
    <w:rsid w:val="006B5ED7"/>
    <w:rsid w:val="006B792C"/>
    <w:rsid w:val="006C015B"/>
    <w:rsid w:val="006C1617"/>
    <w:rsid w:val="006C18ED"/>
    <w:rsid w:val="006C233B"/>
    <w:rsid w:val="006C2441"/>
    <w:rsid w:val="006C268B"/>
    <w:rsid w:val="006C3869"/>
    <w:rsid w:val="006C4288"/>
    <w:rsid w:val="006C43C3"/>
    <w:rsid w:val="006C4ADB"/>
    <w:rsid w:val="006C500C"/>
    <w:rsid w:val="006C69AD"/>
    <w:rsid w:val="006C6F7B"/>
    <w:rsid w:val="006C70E3"/>
    <w:rsid w:val="006C76F3"/>
    <w:rsid w:val="006C7765"/>
    <w:rsid w:val="006D0F61"/>
    <w:rsid w:val="006D1348"/>
    <w:rsid w:val="006D420C"/>
    <w:rsid w:val="006D496D"/>
    <w:rsid w:val="006D4BF7"/>
    <w:rsid w:val="006D4C4F"/>
    <w:rsid w:val="006D4C7A"/>
    <w:rsid w:val="006D50DD"/>
    <w:rsid w:val="006D5ED8"/>
    <w:rsid w:val="006D7CA2"/>
    <w:rsid w:val="006E3139"/>
    <w:rsid w:val="006E3B3B"/>
    <w:rsid w:val="006E4216"/>
    <w:rsid w:val="006E4C69"/>
    <w:rsid w:val="006E5381"/>
    <w:rsid w:val="006E5797"/>
    <w:rsid w:val="006E5AD7"/>
    <w:rsid w:val="006F157C"/>
    <w:rsid w:val="006F17A8"/>
    <w:rsid w:val="006F1FF0"/>
    <w:rsid w:val="006F212B"/>
    <w:rsid w:val="006F21F9"/>
    <w:rsid w:val="006F248E"/>
    <w:rsid w:val="006F493A"/>
    <w:rsid w:val="006F4A26"/>
    <w:rsid w:val="006F6451"/>
    <w:rsid w:val="006F67BD"/>
    <w:rsid w:val="006F6A32"/>
    <w:rsid w:val="00700325"/>
    <w:rsid w:val="00701B3E"/>
    <w:rsid w:val="00701B3F"/>
    <w:rsid w:val="00703224"/>
    <w:rsid w:val="00707921"/>
    <w:rsid w:val="007100CA"/>
    <w:rsid w:val="00711C87"/>
    <w:rsid w:val="007121D8"/>
    <w:rsid w:val="00714DE5"/>
    <w:rsid w:val="00715527"/>
    <w:rsid w:val="00716C7B"/>
    <w:rsid w:val="00720435"/>
    <w:rsid w:val="007220F8"/>
    <w:rsid w:val="00723ADF"/>
    <w:rsid w:val="0072435D"/>
    <w:rsid w:val="007254D2"/>
    <w:rsid w:val="007267F6"/>
    <w:rsid w:val="00727AD6"/>
    <w:rsid w:val="007305EB"/>
    <w:rsid w:val="0073099C"/>
    <w:rsid w:val="00731C59"/>
    <w:rsid w:val="00734164"/>
    <w:rsid w:val="00734F64"/>
    <w:rsid w:val="00735FCF"/>
    <w:rsid w:val="007364E3"/>
    <w:rsid w:val="00742371"/>
    <w:rsid w:val="00745678"/>
    <w:rsid w:val="00745F54"/>
    <w:rsid w:val="007464D2"/>
    <w:rsid w:val="00746C19"/>
    <w:rsid w:val="00746E3B"/>
    <w:rsid w:val="00747F9A"/>
    <w:rsid w:val="00751CED"/>
    <w:rsid w:val="00751DC6"/>
    <w:rsid w:val="00751E64"/>
    <w:rsid w:val="0075233D"/>
    <w:rsid w:val="00753EA8"/>
    <w:rsid w:val="0075430D"/>
    <w:rsid w:val="007551C5"/>
    <w:rsid w:val="00755696"/>
    <w:rsid w:val="00757579"/>
    <w:rsid w:val="00760866"/>
    <w:rsid w:val="00761725"/>
    <w:rsid w:val="0076294D"/>
    <w:rsid w:val="007639A5"/>
    <w:rsid w:val="00765871"/>
    <w:rsid w:val="007676AD"/>
    <w:rsid w:val="00770F39"/>
    <w:rsid w:val="007717FE"/>
    <w:rsid w:val="007720BC"/>
    <w:rsid w:val="00772E44"/>
    <w:rsid w:val="00774FA0"/>
    <w:rsid w:val="00775455"/>
    <w:rsid w:val="00776650"/>
    <w:rsid w:val="007773C0"/>
    <w:rsid w:val="007810BF"/>
    <w:rsid w:val="0078151D"/>
    <w:rsid w:val="007825A9"/>
    <w:rsid w:val="00782749"/>
    <w:rsid w:val="007827B6"/>
    <w:rsid w:val="00782D36"/>
    <w:rsid w:val="007833CD"/>
    <w:rsid w:val="00783C1D"/>
    <w:rsid w:val="00784802"/>
    <w:rsid w:val="00785701"/>
    <w:rsid w:val="00785962"/>
    <w:rsid w:val="00785F9D"/>
    <w:rsid w:val="007866AF"/>
    <w:rsid w:val="00787105"/>
    <w:rsid w:val="00787A35"/>
    <w:rsid w:val="00792B95"/>
    <w:rsid w:val="007935D2"/>
    <w:rsid w:val="007964E5"/>
    <w:rsid w:val="00796C1F"/>
    <w:rsid w:val="007A06BD"/>
    <w:rsid w:val="007A0A86"/>
    <w:rsid w:val="007A1FA6"/>
    <w:rsid w:val="007A2545"/>
    <w:rsid w:val="007A278F"/>
    <w:rsid w:val="007A390C"/>
    <w:rsid w:val="007A39A7"/>
    <w:rsid w:val="007A40CB"/>
    <w:rsid w:val="007A43EA"/>
    <w:rsid w:val="007A5530"/>
    <w:rsid w:val="007B1213"/>
    <w:rsid w:val="007B2ED8"/>
    <w:rsid w:val="007B79D1"/>
    <w:rsid w:val="007C49B4"/>
    <w:rsid w:val="007C5122"/>
    <w:rsid w:val="007C6328"/>
    <w:rsid w:val="007D0620"/>
    <w:rsid w:val="007D0A63"/>
    <w:rsid w:val="007D29BD"/>
    <w:rsid w:val="007D2B90"/>
    <w:rsid w:val="007D3383"/>
    <w:rsid w:val="007D6A64"/>
    <w:rsid w:val="007D6DBD"/>
    <w:rsid w:val="007E06DD"/>
    <w:rsid w:val="007E080A"/>
    <w:rsid w:val="007E1E81"/>
    <w:rsid w:val="007E2112"/>
    <w:rsid w:val="007E2E2F"/>
    <w:rsid w:val="007E3011"/>
    <w:rsid w:val="007E6C65"/>
    <w:rsid w:val="007F2910"/>
    <w:rsid w:val="007F3310"/>
    <w:rsid w:val="007F3611"/>
    <w:rsid w:val="007F47B5"/>
    <w:rsid w:val="007F4820"/>
    <w:rsid w:val="007F58AD"/>
    <w:rsid w:val="007F5F03"/>
    <w:rsid w:val="0080094A"/>
    <w:rsid w:val="00800973"/>
    <w:rsid w:val="00803B9C"/>
    <w:rsid w:val="00804540"/>
    <w:rsid w:val="008061D3"/>
    <w:rsid w:val="0080650C"/>
    <w:rsid w:val="00806860"/>
    <w:rsid w:val="00806D84"/>
    <w:rsid w:val="00807D0E"/>
    <w:rsid w:val="008105E4"/>
    <w:rsid w:val="008117D4"/>
    <w:rsid w:val="00811B1D"/>
    <w:rsid w:val="00811E0A"/>
    <w:rsid w:val="008137D7"/>
    <w:rsid w:val="00814DC9"/>
    <w:rsid w:val="00815900"/>
    <w:rsid w:val="00816518"/>
    <w:rsid w:val="00816C10"/>
    <w:rsid w:val="00817123"/>
    <w:rsid w:val="00817A6F"/>
    <w:rsid w:val="00817D5B"/>
    <w:rsid w:val="00820FFA"/>
    <w:rsid w:val="008213DF"/>
    <w:rsid w:val="008223D7"/>
    <w:rsid w:val="00822690"/>
    <w:rsid w:val="00825DD2"/>
    <w:rsid w:val="0082702E"/>
    <w:rsid w:val="00827F4B"/>
    <w:rsid w:val="00831584"/>
    <w:rsid w:val="00831869"/>
    <w:rsid w:val="00831F6A"/>
    <w:rsid w:val="0083342A"/>
    <w:rsid w:val="008334BA"/>
    <w:rsid w:val="008342BE"/>
    <w:rsid w:val="008357C2"/>
    <w:rsid w:val="00835EEA"/>
    <w:rsid w:val="00842BD1"/>
    <w:rsid w:val="00842CBA"/>
    <w:rsid w:val="00842E66"/>
    <w:rsid w:val="00842FA2"/>
    <w:rsid w:val="0084336F"/>
    <w:rsid w:val="0084476F"/>
    <w:rsid w:val="008459C5"/>
    <w:rsid w:val="00846A6D"/>
    <w:rsid w:val="00846A7A"/>
    <w:rsid w:val="008517F3"/>
    <w:rsid w:val="00857357"/>
    <w:rsid w:val="008613F7"/>
    <w:rsid w:val="008614F9"/>
    <w:rsid w:val="00862F0D"/>
    <w:rsid w:val="008637A7"/>
    <w:rsid w:val="00863DCC"/>
    <w:rsid w:val="00864EDF"/>
    <w:rsid w:val="008651B5"/>
    <w:rsid w:val="00867B25"/>
    <w:rsid w:val="00871169"/>
    <w:rsid w:val="00874572"/>
    <w:rsid w:val="00874BAF"/>
    <w:rsid w:val="00877821"/>
    <w:rsid w:val="00881A3E"/>
    <w:rsid w:val="00884472"/>
    <w:rsid w:val="00884A0B"/>
    <w:rsid w:val="00884D22"/>
    <w:rsid w:val="008855CE"/>
    <w:rsid w:val="00885660"/>
    <w:rsid w:val="008859BA"/>
    <w:rsid w:val="0088734A"/>
    <w:rsid w:val="0088782F"/>
    <w:rsid w:val="00891D14"/>
    <w:rsid w:val="00891D2D"/>
    <w:rsid w:val="008939E8"/>
    <w:rsid w:val="008947CA"/>
    <w:rsid w:val="008963A8"/>
    <w:rsid w:val="00897CC6"/>
    <w:rsid w:val="008A17CC"/>
    <w:rsid w:val="008A6DCB"/>
    <w:rsid w:val="008B0167"/>
    <w:rsid w:val="008B0601"/>
    <w:rsid w:val="008B0A2B"/>
    <w:rsid w:val="008B0C85"/>
    <w:rsid w:val="008B27ED"/>
    <w:rsid w:val="008B3534"/>
    <w:rsid w:val="008B387D"/>
    <w:rsid w:val="008B39E7"/>
    <w:rsid w:val="008B40D3"/>
    <w:rsid w:val="008B5A4C"/>
    <w:rsid w:val="008B5EB1"/>
    <w:rsid w:val="008B7652"/>
    <w:rsid w:val="008C286A"/>
    <w:rsid w:val="008C62A3"/>
    <w:rsid w:val="008C75BE"/>
    <w:rsid w:val="008C7C4B"/>
    <w:rsid w:val="008D110B"/>
    <w:rsid w:val="008D361F"/>
    <w:rsid w:val="008D3A8C"/>
    <w:rsid w:val="008D3D3F"/>
    <w:rsid w:val="008D4AB2"/>
    <w:rsid w:val="008D5147"/>
    <w:rsid w:val="008D53F0"/>
    <w:rsid w:val="008D6E55"/>
    <w:rsid w:val="008D7C23"/>
    <w:rsid w:val="008E0925"/>
    <w:rsid w:val="008E1C2C"/>
    <w:rsid w:val="008E221A"/>
    <w:rsid w:val="008E4072"/>
    <w:rsid w:val="008E47F5"/>
    <w:rsid w:val="008E5B20"/>
    <w:rsid w:val="008E710D"/>
    <w:rsid w:val="008F194F"/>
    <w:rsid w:val="008F5E2C"/>
    <w:rsid w:val="008F6782"/>
    <w:rsid w:val="00901EA8"/>
    <w:rsid w:val="00902A1D"/>
    <w:rsid w:val="00903D6F"/>
    <w:rsid w:val="00903EE4"/>
    <w:rsid w:val="0090457A"/>
    <w:rsid w:val="0090683F"/>
    <w:rsid w:val="0091151A"/>
    <w:rsid w:val="00911DCD"/>
    <w:rsid w:val="00912891"/>
    <w:rsid w:val="0091306F"/>
    <w:rsid w:val="009148CA"/>
    <w:rsid w:val="0091674A"/>
    <w:rsid w:val="009170F3"/>
    <w:rsid w:val="00920E38"/>
    <w:rsid w:val="00920F6A"/>
    <w:rsid w:val="0092174A"/>
    <w:rsid w:val="009227B6"/>
    <w:rsid w:val="00922CB4"/>
    <w:rsid w:val="00922E2F"/>
    <w:rsid w:val="009245B3"/>
    <w:rsid w:val="00924EEC"/>
    <w:rsid w:val="0092540B"/>
    <w:rsid w:val="00925B41"/>
    <w:rsid w:val="00925DF5"/>
    <w:rsid w:val="0092618A"/>
    <w:rsid w:val="009263CF"/>
    <w:rsid w:val="0092654B"/>
    <w:rsid w:val="00926B7E"/>
    <w:rsid w:val="00933CBB"/>
    <w:rsid w:val="00934364"/>
    <w:rsid w:val="00935419"/>
    <w:rsid w:val="00935C4C"/>
    <w:rsid w:val="00937F06"/>
    <w:rsid w:val="009434E1"/>
    <w:rsid w:val="0094421E"/>
    <w:rsid w:val="00944BA2"/>
    <w:rsid w:val="00945A69"/>
    <w:rsid w:val="00951148"/>
    <w:rsid w:val="00952173"/>
    <w:rsid w:val="009528EB"/>
    <w:rsid w:val="00953EF1"/>
    <w:rsid w:val="009543D3"/>
    <w:rsid w:val="009617A6"/>
    <w:rsid w:val="009617DB"/>
    <w:rsid w:val="00962C96"/>
    <w:rsid w:val="00962E0A"/>
    <w:rsid w:val="009637E4"/>
    <w:rsid w:val="00963EC5"/>
    <w:rsid w:val="009666B2"/>
    <w:rsid w:val="00970A88"/>
    <w:rsid w:val="009717E8"/>
    <w:rsid w:val="00971F1F"/>
    <w:rsid w:val="00973EFC"/>
    <w:rsid w:val="009740D8"/>
    <w:rsid w:val="00975BA5"/>
    <w:rsid w:val="009777B4"/>
    <w:rsid w:val="009802F3"/>
    <w:rsid w:val="009808DC"/>
    <w:rsid w:val="00981C31"/>
    <w:rsid w:val="009825FE"/>
    <w:rsid w:val="00983D58"/>
    <w:rsid w:val="00984F69"/>
    <w:rsid w:val="00985F8E"/>
    <w:rsid w:val="00986640"/>
    <w:rsid w:val="00993BF9"/>
    <w:rsid w:val="009946A4"/>
    <w:rsid w:val="00994EDB"/>
    <w:rsid w:val="00995EC4"/>
    <w:rsid w:val="00996012"/>
    <w:rsid w:val="0099632E"/>
    <w:rsid w:val="009A0AA5"/>
    <w:rsid w:val="009A100E"/>
    <w:rsid w:val="009A1CC9"/>
    <w:rsid w:val="009A336F"/>
    <w:rsid w:val="009A731D"/>
    <w:rsid w:val="009B0413"/>
    <w:rsid w:val="009B0599"/>
    <w:rsid w:val="009B06F0"/>
    <w:rsid w:val="009B2BE6"/>
    <w:rsid w:val="009B3EA3"/>
    <w:rsid w:val="009B401B"/>
    <w:rsid w:val="009B48AB"/>
    <w:rsid w:val="009B5655"/>
    <w:rsid w:val="009C10CA"/>
    <w:rsid w:val="009C1E2D"/>
    <w:rsid w:val="009C2091"/>
    <w:rsid w:val="009C2693"/>
    <w:rsid w:val="009C4AFD"/>
    <w:rsid w:val="009C55CB"/>
    <w:rsid w:val="009C6171"/>
    <w:rsid w:val="009C6652"/>
    <w:rsid w:val="009C6B65"/>
    <w:rsid w:val="009D03BC"/>
    <w:rsid w:val="009D3E09"/>
    <w:rsid w:val="009D4208"/>
    <w:rsid w:val="009D69EA"/>
    <w:rsid w:val="009D7110"/>
    <w:rsid w:val="009D755E"/>
    <w:rsid w:val="009E0152"/>
    <w:rsid w:val="009E2C1E"/>
    <w:rsid w:val="009E4022"/>
    <w:rsid w:val="009E45DE"/>
    <w:rsid w:val="009E46A7"/>
    <w:rsid w:val="009E6F44"/>
    <w:rsid w:val="009E75ED"/>
    <w:rsid w:val="009F0D29"/>
    <w:rsid w:val="009F14BE"/>
    <w:rsid w:val="009F159E"/>
    <w:rsid w:val="009F756C"/>
    <w:rsid w:val="00A00944"/>
    <w:rsid w:val="00A01FFA"/>
    <w:rsid w:val="00A023AD"/>
    <w:rsid w:val="00A032DE"/>
    <w:rsid w:val="00A05243"/>
    <w:rsid w:val="00A06495"/>
    <w:rsid w:val="00A0660D"/>
    <w:rsid w:val="00A06CAC"/>
    <w:rsid w:val="00A11725"/>
    <w:rsid w:val="00A12507"/>
    <w:rsid w:val="00A14413"/>
    <w:rsid w:val="00A153A9"/>
    <w:rsid w:val="00A16632"/>
    <w:rsid w:val="00A17B5A"/>
    <w:rsid w:val="00A21988"/>
    <w:rsid w:val="00A221F2"/>
    <w:rsid w:val="00A222A7"/>
    <w:rsid w:val="00A253C7"/>
    <w:rsid w:val="00A26850"/>
    <w:rsid w:val="00A313C9"/>
    <w:rsid w:val="00A33485"/>
    <w:rsid w:val="00A34637"/>
    <w:rsid w:val="00A362EB"/>
    <w:rsid w:val="00A3640B"/>
    <w:rsid w:val="00A372F0"/>
    <w:rsid w:val="00A37ED2"/>
    <w:rsid w:val="00A405A9"/>
    <w:rsid w:val="00A40B0F"/>
    <w:rsid w:val="00A44444"/>
    <w:rsid w:val="00A45C8B"/>
    <w:rsid w:val="00A505A7"/>
    <w:rsid w:val="00A52472"/>
    <w:rsid w:val="00A52E16"/>
    <w:rsid w:val="00A546E0"/>
    <w:rsid w:val="00A55D64"/>
    <w:rsid w:val="00A56266"/>
    <w:rsid w:val="00A56DE0"/>
    <w:rsid w:val="00A57D6F"/>
    <w:rsid w:val="00A60B2A"/>
    <w:rsid w:val="00A6175B"/>
    <w:rsid w:val="00A61B25"/>
    <w:rsid w:val="00A639AD"/>
    <w:rsid w:val="00A64C3D"/>
    <w:rsid w:val="00A651EF"/>
    <w:rsid w:val="00A65815"/>
    <w:rsid w:val="00A67047"/>
    <w:rsid w:val="00A67F27"/>
    <w:rsid w:val="00A7176A"/>
    <w:rsid w:val="00A71CAF"/>
    <w:rsid w:val="00A71D4F"/>
    <w:rsid w:val="00A736B4"/>
    <w:rsid w:val="00A73C65"/>
    <w:rsid w:val="00A73CAB"/>
    <w:rsid w:val="00A747E7"/>
    <w:rsid w:val="00A7681B"/>
    <w:rsid w:val="00A7721E"/>
    <w:rsid w:val="00A77A56"/>
    <w:rsid w:val="00A80FC1"/>
    <w:rsid w:val="00A85BE9"/>
    <w:rsid w:val="00A86745"/>
    <w:rsid w:val="00A87A07"/>
    <w:rsid w:val="00A90500"/>
    <w:rsid w:val="00A90C12"/>
    <w:rsid w:val="00A90D1B"/>
    <w:rsid w:val="00A9256A"/>
    <w:rsid w:val="00A93B91"/>
    <w:rsid w:val="00A947EE"/>
    <w:rsid w:val="00A97D27"/>
    <w:rsid w:val="00AA02F6"/>
    <w:rsid w:val="00AA21B1"/>
    <w:rsid w:val="00AA365E"/>
    <w:rsid w:val="00AA4017"/>
    <w:rsid w:val="00AA42F8"/>
    <w:rsid w:val="00AA6BD5"/>
    <w:rsid w:val="00AB0BEC"/>
    <w:rsid w:val="00AB0F2C"/>
    <w:rsid w:val="00AB1E3F"/>
    <w:rsid w:val="00AB34B8"/>
    <w:rsid w:val="00AB3C6E"/>
    <w:rsid w:val="00AB4944"/>
    <w:rsid w:val="00AC1936"/>
    <w:rsid w:val="00AC2738"/>
    <w:rsid w:val="00AC2BAD"/>
    <w:rsid w:val="00AC389D"/>
    <w:rsid w:val="00AC3D3C"/>
    <w:rsid w:val="00AC4ED8"/>
    <w:rsid w:val="00AC51BA"/>
    <w:rsid w:val="00AC51D2"/>
    <w:rsid w:val="00AC61A3"/>
    <w:rsid w:val="00AC6D04"/>
    <w:rsid w:val="00AD008B"/>
    <w:rsid w:val="00AD3BA0"/>
    <w:rsid w:val="00AD7950"/>
    <w:rsid w:val="00AE34D6"/>
    <w:rsid w:val="00AE4C9C"/>
    <w:rsid w:val="00AE52E6"/>
    <w:rsid w:val="00AE5893"/>
    <w:rsid w:val="00AE6806"/>
    <w:rsid w:val="00AE7FA8"/>
    <w:rsid w:val="00AF0B42"/>
    <w:rsid w:val="00AF1225"/>
    <w:rsid w:val="00AF1599"/>
    <w:rsid w:val="00AF44E1"/>
    <w:rsid w:val="00AF5ED9"/>
    <w:rsid w:val="00AF72A1"/>
    <w:rsid w:val="00AF7E4A"/>
    <w:rsid w:val="00B004AA"/>
    <w:rsid w:val="00B03076"/>
    <w:rsid w:val="00B03F1C"/>
    <w:rsid w:val="00B0425D"/>
    <w:rsid w:val="00B042F0"/>
    <w:rsid w:val="00B05116"/>
    <w:rsid w:val="00B0531D"/>
    <w:rsid w:val="00B07C3C"/>
    <w:rsid w:val="00B10AC7"/>
    <w:rsid w:val="00B11016"/>
    <w:rsid w:val="00B1262E"/>
    <w:rsid w:val="00B13A7A"/>
    <w:rsid w:val="00B13FAB"/>
    <w:rsid w:val="00B14416"/>
    <w:rsid w:val="00B14AC4"/>
    <w:rsid w:val="00B15A77"/>
    <w:rsid w:val="00B15B3D"/>
    <w:rsid w:val="00B15CE7"/>
    <w:rsid w:val="00B16899"/>
    <w:rsid w:val="00B21AA1"/>
    <w:rsid w:val="00B22721"/>
    <w:rsid w:val="00B22D5E"/>
    <w:rsid w:val="00B236C2"/>
    <w:rsid w:val="00B23F8F"/>
    <w:rsid w:val="00B24816"/>
    <w:rsid w:val="00B24FDF"/>
    <w:rsid w:val="00B25AE7"/>
    <w:rsid w:val="00B263A6"/>
    <w:rsid w:val="00B30AEA"/>
    <w:rsid w:val="00B33210"/>
    <w:rsid w:val="00B3335E"/>
    <w:rsid w:val="00B33916"/>
    <w:rsid w:val="00B34409"/>
    <w:rsid w:val="00B36046"/>
    <w:rsid w:val="00B3771D"/>
    <w:rsid w:val="00B4018B"/>
    <w:rsid w:val="00B40C41"/>
    <w:rsid w:val="00B40CE3"/>
    <w:rsid w:val="00B424AD"/>
    <w:rsid w:val="00B42EBE"/>
    <w:rsid w:val="00B431B2"/>
    <w:rsid w:val="00B4326C"/>
    <w:rsid w:val="00B449D8"/>
    <w:rsid w:val="00B4623B"/>
    <w:rsid w:val="00B462AA"/>
    <w:rsid w:val="00B46450"/>
    <w:rsid w:val="00B467F9"/>
    <w:rsid w:val="00B50BA4"/>
    <w:rsid w:val="00B5122A"/>
    <w:rsid w:val="00B54A50"/>
    <w:rsid w:val="00B55264"/>
    <w:rsid w:val="00B56C89"/>
    <w:rsid w:val="00B56F3D"/>
    <w:rsid w:val="00B5753D"/>
    <w:rsid w:val="00B60394"/>
    <w:rsid w:val="00B607E7"/>
    <w:rsid w:val="00B60F7C"/>
    <w:rsid w:val="00B61F23"/>
    <w:rsid w:val="00B622FD"/>
    <w:rsid w:val="00B62A96"/>
    <w:rsid w:val="00B639D8"/>
    <w:rsid w:val="00B63A61"/>
    <w:rsid w:val="00B64FFF"/>
    <w:rsid w:val="00B65DAE"/>
    <w:rsid w:val="00B676A0"/>
    <w:rsid w:val="00B676F3"/>
    <w:rsid w:val="00B720AF"/>
    <w:rsid w:val="00B73E72"/>
    <w:rsid w:val="00B81764"/>
    <w:rsid w:val="00B83EB8"/>
    <w:rsid w:val="00B853E5"/>
    <w:rsid w:val="00B85834"/>
    <w:rsid w:val="00B92047"/>
    <w:rsid w:val="00B9279A"/>
    <w:rsid w:val="00B9282C"/>
    <w:rsid w:val="00B9394D"/>
    <w:rsid w:val="00B93B50"/>
    <w:rsid w:val="00B96693"/>
    <w:rsid w:val="00B97431"/>
    <w:rsid w:val="00BA17AD"/>
    <w:rsid w:val="00BA1D60"/>
    <w:rsid w:val="00BA32A6"/>
    <w:rsid w:val="00BA3F6C"/>
    <w:rsid w:val="00BA4D39"/>
    <w:rsid w:val="00BA5DEA"/>
    <w:rsid w:val="00BA6161"/>
    <w:rsid w:val="00BA75B6"/>
    <w:rsid w:val="00BA7643"/>
    <w:rsid w:val="00BB02FC"/>
    <w:rsid w:val="00BB2315"/>
    <w:rsid w:val="00BB250E"/>
    <w:rsid w:val="00BB2A0B"/>
    <w:rsid w:val="00BB33D5"/>
    <w:rsid w:val="00BB340E"/>
    <w:rsid w:val="00BB50B2"/>
    <w:rsid w:val="00BB6350"/>
    <w:rsid w:val="00BB7BE5"/>
    <w:rsid w:val="00BB7CE3"/>
    <w:rsid w:val="00BC0236"/>
    <w:rsid w:val="00BC18B6"/>
    <w:rsid w:val="00BC1C2F"/>
    <w:rsid w:val="00BC1CFE"/>
    <w:rsid w:val="00BC2E32"/>
    <w:rsid w:val="00BC3EEF"/>
    <w:rsid w:val="00BC488B"/>
    <w:rsid w:val="00BC4950"/>
    <w:rsid w:val="00BC4BD2"/>
    <w:rsid w:val="00BC4D1C"/>
    <w:rsid w:val="00BC4DF3"/>
    <w:rsid w:val="00BC5016"/>
    <w:rsid w:val="00BC57B0"/>
    <w:rsid w:val="00BC77C5"/>
    <w:rsid w:val="00BD0C64"/>
    <w:rsid w:val="00BD0E27"/>
    <w:rsid w:val="00BD159A"/>
    <w:rsid w:val="00BD566D"/>
    <w:rsid w:val="00BD58F0"/>
    <w:rsid w:val="00BD5EC4"/>
    <w:rsid w:val="00BD7C4D"/>
    <w:rsid w:val="00BE08E6"/>
    <w:rsid w:val="00BE2892"/>
    <w:rsid w:val="00BE2FDF"/>
    <w:rsid w:val="00BE4499"/>
    <w:rsid w:val="00BE58A9"/>
    <w:rsid w:val="00BE6FBF"/>
    <w:rsid w:val="00BE737F"/>
    <w:rsid w:val="00BF0812"/>
    <w:rsid w:val="00BF0C5B"/>
    <w:rsid w:val="00BF195B"/>
    <w:rsid w:val="00BF387B"/>
    <w:rsid w:val="00BF471E"/>
    <w:rsid w:val="00BF60D1"/>
    <w:rsid w:val="00C029E7"/>
    <w:rsid w:val="00C02A37"/>
    <w:rsid w:val="00C03D36"/>
    <w:rsid w:val="00C04B55"/>
    <w:rsid w:val="00C05022"/>
    <w:rsid w:val="00C06922"/>
    <w:rsid w:val="00C07C31"/>
    <w:rsid w:val="00C10FF6"/>
    <w:rsid w:val="00C1440F"/>
    <w:rsid w:val="00C150AE"/>
    <w:rsid w:val="00C165A8"/>
    <w:rsid w:val="00C17025"/>
    <w:rsid w:val="00C17EA9"/>
    <w:rsid w:val="00C23E43"/>
    <w:rsid w:val="00C25C16"/>
    <w:rsid w:val="00C2726B"/>
    <w:rsid w:val="00C27E2A"/>
    <w:rsid w:val="00C3024C"/>
    <w:rsid w:val="00C32651"/>
    <w:rsid w:val="00C328BF"/>
    <w:rsid w:val="00C32AA1"/>
    <w:rsid w:val="00C345A9"/>
    <w:rsid w:val="00C356D2"/>
    <w:rsid w:val="00C36946"/>
    <w:rsid w:val="00C36DDF"/>
    <w:rsid w:val="00C445AC"/>
    <w:rsid w:val="00C46C3A"/>
    <w:rsid w:val="00C50BDD"/>
    <w:rsid w:val="00C51733"/>
    <w:rsid w:val="00C52D3F"/>
    <w:rsid w:val="00C53705"/>
    <w:rsid w:val="00C53C30"/>
    <w:rsid w:val="00C55752"/>
    <w:rsid w:val="00C557D1"/>
    <w:rsid w:val="00C578A3"/>
    <w:rsid w:val="00C6081C"/>
    <w:rsid w:val="00C619BF"/>
    <w:rsid w:val="00C61ACF"/>
    <w:rsid w:val="00C634F2"/>
    <w:rsid w:val="00C65C39"/>
    <w:rsid w:val="00C65EDA"/>
    <w:rsid w:val="00C664D8"/>
    <w:rsid w:val="00C6747A"/>
    <w:rsid w:val="00C711F3"/>
    <w:rsid w:val="00C7154E"/>
    <w:rsid w:val="00C73204"/>
    <w:rsid w:val="00C73762"/>
    <w:rsid w:val="00C73D5A"/>
    <w:rsid w:val="00C73DD9"/>
    <w:rsid w:val="00C7662C"/>
    <w:rsid w:val="00C774B1"/>
    <w:rsid w:val="00C775B8"/>
    <w:rsid w:val="00C775D6"/>
    <w:rsid w:val="00C82DA3"/>
    <w:rsid w:val="00C86156"/>
    <w:rsid w:val="00C8652C"/>
    <w:rsid w:val="00C87277"/>
    <w:rsid w:val="00C909B6"/>
    <w:rsid w:val="00C920CB"/>
    <w:rsid w:val="00C93518"/>
    <w:rsid w:val="00C9364D"/>
    <w:rsid w:val="00C93DAD"/>
    <w:rsid w:val="00C942B7"/>
    <w:rsid w:val="00C958FB"/>
    <w:rsid w:val="00C96B92"/>
    <w:rsid w:val="00C96F9E"/>
    <w:rsid w:val="00C974D5"/>
    <w:rsid w:val="00CA0D01"/>
    <w:rsid w:val="00CA0F87"/>
    <w:rsid w:val="00CA2437"/>
    <w:rsid w:val="00CA2FA1"/>
    <w:rsid w:val="00CA319E"/>
    <w:rsid w:val="00CA4CF4"/>
    <w:rsid w:val="00CA680B"/>
    <w:rsid w:val="00CA6ECF"/>
    <w:rsid w:val="00CB02BA"/>
    <w:rsid w:val="00CB2D88"/>
    <w:rsid w:val="00CB3E09"/>
    <w:rsid w:val="00CB441B"/>
    <w:rsid w:val="00CB68A8"/>
    <w:rsid w:val="00CB6F70"/>
    <w:rsid w:val="00CC0FB6"/>
    <w:rsid w:val="00CC29AB"/>
    <w:rsid w:val="00CC3427"/>
    <w:rsid w:val="00CC3A68"/>
    <w:rsid w:val="00CC3D43"/>
    <w:rsid w:val="00CC5F25"/>
    <w:rsid w:val="00CC70D3"/>
    <w:rsid w:val="00CD0EDD"/>
    <w:rsid w:val="00CD3D76"/>
    <w:rsid w:val="00CD418E"/>
    <w:rsid w:val="00CD41AE"/>
    <w:rsid w:val="00CD5169"/>
    <w:rsid w:val="00CE143C"/>
    <w:rsid w:val="00CE21F7"/>
    <w:rsid w:val="00CE2F5D"/>
    <w:rsid w:val="00CE37CB"/>
    <w:rsid w:val="00CE3AAB"/>
    <w:rsid w:val="00CE493C"/>
    <w:rsid w:val="00CE5CCA"/>
    <w:rsid w:val="00CE72D9"/>
    <w:rsid w:val="00CE7C80"/>
    <w:rsid w:val="00CF0C08"/>
    <w:rsid w:val="00CF10DC"/>
    <w:rsid w:val="00CF25FE"/>
    <w:rsid w:val="00CF3DF1"/>
    <w:rsid w:val="00CF5AB2"/>
    <w:rsid w:val="00CF79B7"/>
    <w:rsid w:val="00D01DB0"/>
    <w:rsid w:val="00D03560"/>
    <w:rsid w:val="00D03BB9"/>
    <w:rsid w:val="00D04B66"/>
    <w:rsid w:val="00D04BF1"/>
    <w:rsid w:val="00D05537"/>
    <w:rsid w:val="00D13710"/>
    <w:rsid w:val="00D146B3"/>
    <w:rsid w:val="00D14EF5"/>
    <w:rsid w:val="00D1605D"/>
    <w:rsid w:val="00D1676B"/>
    <w:rsid w:val="00D17133"/>
    <w:rsid w:val="00D1757B"/>
    <w:rsid w:val="00D20E90"/>
    <w:rsid w:val="00D20E94"/>
    <w:rsid w:val="00D214E1"/>
    <w:rsid w:val="00D22371"/>
    <w:rsid w:val="00D2237B"/>
    <w:rsid w:val="00D24703"/>
    <w:rsid w:val="00D25688"/>
    <w:rsid w:val="00D259B3"/>
    <w:rsid w:val="00D25A2B"/>
    <w:rsid w:val="00D25B4E"/>
    <w:rsid w:val="00D25D58"/>
    <w:rsid w:val="00D266DE"/>
    <w:rsid w:val="00D26F01"/>
    <w:rsid w:val="00D306A4"/>
    <w:rsid w:val="00D31B50"/>
    <w:rsid w:val="00D32D01"/>
    <w:rsid w:val="00D35ABF"/>
    <w:rsid w:val="00D3600E"/>
    <w:rsid w:val="00D366AB"/>
    <w:rsid w:val="00D40FE1"/>
    <w:rsid w:val="00D41020"/>
    <w:rsid w:val="00D443BC"/>
    <w:rsid w:val="00D459EC"/>
    <w:rsid w:val="00D47FBA"/>
    <w:rsid w:val="00D523FF"/>
    <w:rsid w:val="00D5282E"/>
    <w:rsid w:val="00D52DF3"/>
    <w:rsid w:val="00D5302C"/>
    <w:rsid w:val="00D53C07"/>
    <w:rsid w:val="00D54DFF"/>
    <w:rsid w:val="00D552D8"/>
    <w:rsid w:val="00D5583F"/>
    <w:rsid w:val="00D56DF7"/>
    <w:rsid w:val="00D578B7"/>
    <w:rsid w:val="00D57E30"/>
    <w:rsid w:val="00D6068D"/>
    <w:rsid w:val="00D60890"/>
    <w:rsid w:val="00D61E19"/>
    <w:rsid w:val="00D64294"/>
    <w:rsid w:val="00D6540A"/>
    <w:rsid w:val="00D6629D"/>
    <w:rsid w:val="00D70351"/>
    <w:rsid w:val="00D7155D"/>
    <w:rsid w:val="00D73338"/>
    <w:rsid w:val="00D74FC7"/>
    <w:rsid w:val="00D76579"/>
    <w:rsid w:val="00D77702"/>
    <w:rsid w:val="00D81894"/>
    <w:rsid w:val="00D83191"/>
    <w:rsid w:val="00D8374A"/>
    <w:rsid w:val="00D85A76"/>
    <w:rsid w:val="00D8601B"/>
    <w:rsid w:val="00D862F9"/>
    <w:rsid w:val="00D90F7B"/>
    <w:rsid w:val="00D915D5"/>
    <w:rsid w:val="00D929C9"/>
    <w:rsid w:val="00DA03EB"/>
    <w:rsid w:val="00DA1025"/>
    <w:rsid w:val="00DA1869"/>
    <w:rsid w:val="00DA1C1C"/>
    <w:rsid w:val="00DA2384"/>
    <w:rsid w:val="00DA462D"/>
    <w:rsid w:val="00DA48FF"/>
    <w:rsid w:val="00DA78EB"/>
    <w:rsid w:val="00DA7EF3"/>
    <w:rsid w:val="00DB001F"/>
    <w:rsid w:val="00DB0B63"/>
    <w:rsid w:val="00DB0FB0"/>
    <w:rsid w:val="00DB11E1"/>
    <w:rsid w:val="00DB16D5"/>
    <w:rsid w:val="00DB2A97"/>
    <w:rsid w:val="00DB32E1"/>
    <w:rsid w:val="00DB44CB"/>
    <w:rsid w:val="00DB6EE2"/>
    <w:rsid w:val="00DC0A55"/>
    <w:rsid w:val="00DC1A60"/>
    <w:rsid w:val="00DC23E0"/>
    <w:rsid w:val="00DC2ED0"/>
    <w:rsid w:val="00DC3364"/>
    <w:rsid w:val="00DC3834"/>
    <w:rsid w:val="00DC3C2A"/>
    <w:rsid w:val="00DC4344"/>
    <w:rsid w:val="00DC502D"/>
    <w:rsid w:val="00DC5C23"/>
    <w:rsid w:val="00DC63D0"/>
    <w:rsid w:val="00DD2819"/>
    <w:rsid w:val="00DD5D3B"/>
    <w:rsid w:val="00DE0379"/>
    <w:rsid w:val="00DE0C78"/>
    <w:rsid w:val="00DE0E78"/>
    <w:rsid w:val="00DE158A"/>
    <w:rsid w:val="00DE1E8D"/>
    <w:rsid w:val="00DE3394"/>
    <w:rsid w:val="00DE3A13"/>
    <w:rsid w:val="00DE4687"/>
    <w:rsid w:val="00DE7B50"/>
    <w:rsid w:val="00DF00D3"/>
    <w:rsid w:val="00DF0CC9"/>
    <w:rsid w:val="00DF2205"/>
    <w:rsid w:val="00DF29EC"/>
    <w:rsid w:val="00DF517D"/>
    <w:rsid w:val="00DF52F1"/>
    <w:rsid w:val="00DF72B6"/>
    <w:rsid w:val="00DF7A62"/>
    <w:rsid w:val="00E00CB3"/>
    <w:rsid w:val="00E016D1"/>
    <w:rsid w:val="00E0233D"/>
    <w:rsid w:val="00E0452E"/>
    <w:rsid w:val="00E045EC"/>
    <w:rsid w:val="00E046FD"/>
    <w:rsid w:val="00E04A42"/>
    <w:rsid w:val="00E05BE5"/>
    <w:rsid w:val="00E0622B"/>
    <w:rsid w:val="00E112E8"/>
    <w:rsid w:val="00E12029"/>
    <w:rsid w:val="00E12ADB"/>
    <w:rsid w:val="00E13485"/>
    <w:rsid w:val="00E13920"/>
    <w:rsid w:val="00E13D2E"/>
    <w:rsid w:val="00E13FF5"/>
    <w:rsid w:val="00E15174"/>
    <w:rsid w:val="00E15327"/>
    <w:rsid w:val="00E17215"/>
    <w:rsid w:val="00E22D49"/>
    <w:rsid w:val="00E2368A"/>
    <w:rsid w:val="00E26C6D"/>
    <w:rsid w:val="00E2764E"/>
    <w:rsid w:val="00E27D1D"/>
    <w:rsid w:val="00E3473A"/>
    <w:rsid w:val="00E355C3"/>
    <w:rsid w:val="00E358DE"/>
    <w:rsid w:val="00E41C94"/>
    <w:rsid w:val="00E41C98"/>
    <w:rsid w:val="00E420F6"/>
    <w:rsid w:val="00E43ED5"/>
    <w:rsid w:val="00E44860"/>
    <w:rsid w:val="00E451A2"/>
    <w:rsid w:val="00E4579A"/>
    <w:rsid w:val="00E45C00"/>
    <w:rsid w:val="00E47628"/>
    <w:rsid w:val="00E53D71"/>
    <w:rsid w:val="00E53F26"/>
    <w:rsid w:val="00E568A3"/>
    <w:rsid w:val="00E56BB5"/>
    <w:rsid w:val="00E57141"/>
    <w:rsid w:val="00E578E1"/>
    <w:rsid w:val="00E60553"/>
    <w:rsid w:val="00E60A0B"/>
    <w:rsid w:val="00E61F93"/>
    <w:rsid w:val="00E6209B"/>
    <w:rsid w:val="00E6297C"/>
    <w:rsid w:val="00E63C2D"/>
    <w:rsid w:val="00E64519"/>
    <w:rsid w:val="00E65E1C"/>
    <w:rsid w:val="00E70095"/>
    <w:rsid w:val="00E7021E"/>
    <w:rsid w:val="00E70711"/>
    <w:rsid w:val="00E709F3"/>
    <w:rsid w:val="00E71E85"/>
    <w:rsid w:val="00E725B3"/>
    <w:rsid w:val="00E72CE2"/>
    <w:rsid w:val="00E73449"/>
    <w:rsid w:val="00E73922"/>
    <w:rsid w:val="00E7617E"/>
    <w:rsid w:val="00E81D5D"/>
    <w:rsid w:val="00E82E20"/>
    <w:rsid w:val="00E83C0D"/>
    <w:rsid w:val="00E8427A"/>
    <w:rsid w:val="00E8468E"/>
    <w:rsid w:val="00E850C0"/>
    <w:rsid w:val="00E85EDB"/>
    <w:rsid w:val="00E86712"/>
    <w:rsid w:val="00E90C77"/>
    <w:rsid w:val="00E91BD5"/>
    <w:rsid w:val="00E920B1"/>
    <w:rsid w:val="00E92446"/>
    <w:rsid w:val="00E929AC"/>
    <w:rsid w:val="00E9367D"/>
    <w:rsid w:val="00E93DF7"/>
    <w:rsid w:val="00E95636"/>
    <w:rsid w:val="00E966EC"/>
    <w:rsid w:val="00E97771"/>
    <w:rsid w:val="00E97EFB"/>
    <w:rsid w:val="00EA263D"/>
    <w:rsid w:val="00EA3E3A"/>
    <w:rsid w:val="00EA5362"/>
    <w:rsid w:val="00EA5597"/>
    <w:rsid w:val="00EA6725"/>
    <w:rsid w:val="00EA6F3D"/>
    <w:rsid w:val="00EA73E7"/>
    <w:rsid w:val="00EA7581"/>
    <w:rsid w:val="00EB06E2"/>
    <w:rsid w:val="00EB26E2"/>
    <w:rsid w:val="00EB2808"/>
    <w:rsid w:val="00EB2879"/>
    <w:rsid w:val="00EB34BB"/>
    <w:rsid w:val="00EB467B"/>
    <w:rsid w:val="00EB481D"/>
    <w:rsid w:val="00EB4D22"/>
    <w:rsid w:val="00EB6AE1"/>
    <w:rsid w:val="00EC0C2A"/>
    <w:rsid w:val="00EC0E8D"/>
    <w:rsid w:val="00EC30D5"/>
    <w:rsid w:val="00EC5EF2"/>
    <w:rsid w:val="00EC7E5C"/>
    <w:rsid w:val="00EC7F7E"/>
    <w:rsid w:val="00ED3D01"/>
    <w:rsid w:val="00ED4BBF"/>
    <w:rsid w:val="00EE0E9D"/>
    <w:rsid w:val="00EE2E95"/>
    <w:rsid w:val="00EE303C"/>
    <w:rsid w:val="00EE5286"/>
    <w:rsid w:val="00EE5507"/>
    <w:rsid w:val="00EE6761"/>
    <w:rsid w:val="00EE75E2"/>
    <w:rsid w:val="00EF0190"/>
    <w:rsid w:val="00EF1017"/>
    <w:rsid w:val="00EF1A91"/>
    <w:rsid w:val="00EF2A11"/>
    <w:rsid w:val="00EF2C04"/>
    <w:rsid w:val="00EF3400"/>
    <w:rsid w:val="00EF3485"/>
    <w:rsid w:val="00EF5236"/>
    <w:rsid w:val="00EF6425"/>
    <w:rsid w:val="00EF791F"/>
    <w:rsid w:val="00F01066"/>
    <w:rsid w:val="00F025B9"/>
    <w:rsid w:val="00F027B0"/>
    <w:rsid w:val="00F034F3"/>
    <w:rsid w:val="00F062B8"/>
    <w:rsid w:val="00F06540"/>
    <w:rsid w:val="00F06828"/>
    <w:rsid w:val="00F07D18"/>
    <w:rsid w:val="00F10133"/>
    <w:rsid w:val="00F109BE"/>
    <w:rsid w:val="00F1217C"/>
    <w:rsid w:val="00F13908"/>
    <w:rsid w:val="00F17C20"/>
    <w:rsid w:val="00F224AD"/>
    <w:rsid w:val="00F234F9"/>
    <w:rsid w:val="00F25A4C"/>
    <w:rsid w:val="00F30F4D"/>
    <w:rsid w:val="00F34B8F"/>
    <w:rsid w:val="00F368BE"/>
    <w:rsid w:val="00F36EC1"/>
    <w:rsid w:val="00F4085A"/>
    <w:rsid w:val="00F40916"/>
    <w:rsid w:val="00F40A77"/>
    <w:rsid w:val="00F41DE8"/>
    <w:rsid w:val="00F44643"/>
    <w:rsid w:val="00F44A37"/>
    <w:rsid w:val="00F46829"/>
    <w:rsid w:val="00F50551"/>
    <w:rsid w:val="00F51062"/>
    <w:rsid w:val="00F5113A"/>
    <w:rsid w:val="00F51328"/>
    <w:rsid w:val="00F5155F"/>
    <w:rsid w:val="00F51ABF"/>
    <w:rsid w:val="00F531D6"/>
    <w:rsid w:val="00F55C9A"/>
    <w:rsid w:val="00F57B3E"/>
    <w:rsid w:val="00F57BD5"/>
    <w:rsid w:val="00F57CC1"/>
    <w:rsid w:val="00F607BD"/>
    <w:rsid w:val="00F6135F"/>
    <w:rsid w:val="00F616A2"/>
    <w:rsid w:val="00F61CB8"/>
    <w:rsid w:val="00F62C95"/>
    <w:rsid w:val="00F63119"/>
    <w:rsid w:val="00F650D4"/>
    <w:rsid w:val="00F65B29"/>
    <w:rsid w:val="00F67B22"/>
    <w:rsid w:val="00F701FE"/>
    <w:rsid w:val="00F70A2B"/>
    <w:rsid w:val="00F70E3A"/>
    <w:rsid w:val="00F72878"/>
    <w:rsid w:val="00F801D9"/>
    <w:rsid w:val="00F80FA0"/>
    <w:rsid w:val="00F82C0B"/>
    <w:rsid w:val="00F838CF"/>
    <w:rsid w:val="00F83FB7"/>
    <w:rsid w:val="00F862F0"/>
    <w:rsid w:val="00F90046"/>
    <w:rsid w:val="00F90EAF"/>
    <w:rsid w:val="00F93757"/>
    <w:rsid w:val="00F93E59"/>
    <w:rsid w:val="00F967DA"/>
    <w:rsid w:val="00F97F93"/>
    <w:rsid w:val="00FA0519"/>
    <w:rsid w:val="00FA0922"/>
    <w:rsid w:val="00FA14C5"/>
    <w:rsid w:val="00FA164B"/>
    <w:rsid w:val="00FA1681"/>
    <w:rsid w:val="00FA223E"/>
    <w:rsid w:val="00FA2486"/>
    <w:rsid w:val="00FA2967"/>
    <w:rsid w:val="00FA44F2"/>
    <w:rsid w:val="00FA6009"/>
    <w:rsid w:val="00FB0545"/>
    <w:rsid w:val="00FB0D94"/>
    <w:rsid w:val="00FB1756"/>
    <w:rsid w:val="00FB1C32"/>
    <w:rsid w:val="00FB2435"/>
    <w:rsid w:val="00FB271F"/>
    <w:rsid w:val="00FB517B"/>
    <w:rsid w:val="00FB6BE6"/>
    <w:rsid w:val="00FB70B1"/>
    <w:rsid w:val="00FB7139"/>
    <w:rsid w:val="00FC4091"/>
    <w:rsid w:val="00FC7DC7"/>
    <w:rsid w:val="00FD0A67"/>
    <w:rsid w:val="00FD0D68"/>
    <w:rsid w:val="00FD11AD"/>
    <w:rsid w:val="00FD12C3"/>
    <w:rsid w:val="00FD3587"/>
    <w:rsid w:val="00FD3AA3"/>
    <w:rsid w:val="00FD4F2B"/>
    <w:rsid w:val="00FE080A"/>
    <w:rsid w:val="00FE1BA7"/>
    <w:rsid w:val="00FE30B8"/>
    <w:rsid w:val="00FE3D43"/>
    <w:rsid w:val="00FE54D1"/>
    <w:rsid w:val="00FE5C63"/>
    <w:rsid w:val="00FE5E8C"/>
    <w:rsid w:val="00FE60FB"/>
    <w:rsid w:val="00FE72E2"/>
    <w:rsid w:val="00FE7AD9"/>
    <w:rsid w:val="00FF08D4"/>
    <w:rsid w:val="00FF18B3"/>
    <w:rsid w:val="00FF2896"/>
    <w:rsid w:val="00FF2D0F"/>
    <w:rsid w:val="00FF33DB"/>
    <w:rsid w:val="00FF4377"/>
    <w:rsid w:val="00FF4CA8"/>
    <w:rsid w:val="00FF65BE"/>
    <w:rsid w:val="00FF6CE8"/>
    <w:rsid w:val="00FF73E1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F874"/>
  <w15:docId w15:val="{F0E33608-C32E-46A6-984B-088E56EB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00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100CA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100CA"/>
    <w:rPr>
      <w:rFonts w:ascii="Arial" w:eastAsia="Times New Roman" w:hAnsi="Arial" w:cs="Times New Roman"/>
      <w:b/>
      <w:sz w:val="28"/>
      <w:szCs w:val="20"/>
      <w:lang w:eastAsia="de-DE"/>
    </w:rPr>
  </w:style>
  <w:style w:type="table" w:styleId="Tabellenraster">
    <w:name w:val="Table Grid"/>
    <w:basedOn w:val="NormaleTabelle"/>
    <w:uiPriority w:val="59"/>
    <w:rsid w:val="0071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1B1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3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36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wfxRecipient">
    <w:name w:val="wfxRecipient"/>
    <w:basedOn w:val="Standard"/>
    <w:rsid w:val="00B85834"/>
    <w:pPr>
      <w:overflowPunct/>
      <w:autoSpaceDE/>
      <w:autoSpaceDN/>
      <w:adjustRightInd/>
      <w:textAlignment w:val="auto"/>
    </w:pPr>
    <w:rPr>
      <w:sz w:val="20"/>
    </w:rPr>
  </w:style>
  <w:style w:type="paragraph" w:styleId="NurText">
    <w:name w:val="Plain Text"/>
    <w:basedOn w:val="Standard"/>
    <w:link w:val="NurTextZchn"/>
    <w:rsid w:val="00B85834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rsid w:val="00B85834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89B3-A3E8-42FF-82F7-9DA1CAC8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Verwaltungspraktikant</dc:creator>
  <cp:lastModifiedBy>Kling, Heike</cp:lastModifiedBy>
  <cp:revision>8</cp:revision>
  <cp:lastPrinted>2022-05-09T13:19:00Z</cp:lastPrinted>
  <dcterms:created xsi:type="dcterms:W3CDTF">2023-03-06T08:51:00Z</dcterms:created>
  <dcterms:modified xsi:type="dcterms:W3CDTF">2025-05-05T06:58:00Z</dcterms:modified>
</cp:coreProperties>
</file>